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0375F" w14:textId="77777777" w:rsidR="00F64A52" w:rsidRPr="00724B19" w:rsidRDefault="00F64A52" w:rsidP="00724B19">
      <w:pPr>
        <w:pStyle w:val="Title"/>
      </w:pPr>
      <w:r w:rsidRPr="00724B19">
        <w:t>Part B Assessment Data Notes</w:t>
      </w:r>
    </w:p>
    <w:p w14:paraId="12D03760" w14:textId="32656716" w:rsidR="00F64A52" w:rsidRPr="00724B19" w:rsidRDefault="00F64A52" w:rsidP="00724B19">
      <w:pPr>
        <w:pStyle w:val="Subtitle"/>
      </w:pPr>
      <w:r w:rsidRPr="00724B19">
        <w:t>201</w:t>
      </w:r>
      <w:r w:rsidR="00826C7A" w:rsidRPr="00724B19">
        <w:t>5</w:t>
      </w:r>
      <w:r w:rsidRPr="00724B19">
        <w:t>-1</w:t>
      </w:r>
      <w:r w:rsidR="00826C7A" w:rsidRPr="00724B19">
        <w:t>6</w:t>
      </w:r>
      <w:r w:rsidRPr="00724B19">
        <w:t xml:space="preserve"> Reporting Year</w:t>
      </w:r>
    </w:p>
    <w:p w14:paraId="12D03761" w14:textId="20744CE4" w:rsidR="00F64A52" w:rsidRPr="001D1228" w:rsidRDefault="00F64A52" w:rsidP="00E97E0B">
      <w:pPr>
        <w:rPr>
          <w:rFonts w:eastAsiaTheme="minorEastAsia" w:cstheme="minorHAnsi"/>
          <w:color w:val="000000" w:themeColor="text1"/>
          <w:kern w:val="2"/>
        </w:rPr>
      </w:pPr>
      <w:r w:rsidRPr="001D1228">
        <w:rPr>
          <w:rFonts w:eastAsiaTheme="minorEastAsia" w:cstheme="minorHAnsi"/>
          <w:color w:val="000000" w:themeColor="text1"/>
          <w:kern w:val="2"/>
        </w:rPr>
        <w:t xml:space="preserve">This document provides information or data notes on the ways in which </w:t>
      </w:r>
      <w:r w:rsidR="005B3E5C" w:rsidRPr="001D1228">
        <w:rPr>
          <w:rFonts w:eastAsiaTheme="minorEastAsia" w:cstheme="minorHAnsi"/>
          <w:color w:val="000000" w:themeColor="text1"/>
          <w:kern w:val="2"/>
        </w:rPr>
        <w:t>S</w:t>
      </w:r>
      <w:r w:rsidRPr="001D1228">
        <w:rPr>
          <w:rFonts w:eastAsiaTheme="minorEastAsia" w:cstheme="minorHAnsi"/>
          <w:color w:val="000000" w:themeColor="text1"/>
          <w:kern w:val="2"/>
        </w:rPr>
        <w:t>tates</w:t>
      </w:r>
      <w:r w:rsidR="005B3E5C" w:rsidRPr="001D1228">
        <w:rPr>
          <w:rFonts w:eastAsiaTheme="minorEastAsia" w:cstheme="minorHAnsi"/>
          <w:color w:val="000000" w:themeColor="text1"/>
          <w:kern w:val="2"/>
        </w:rPr>
        <w:t xml:space="preserve"> and entities</w:t>
      </w:r>
      <w:r w:rsidRPr="001D1228">
        <w:rPr>
          <w:rFonts w:eastAsiaTheme="minorEastAsia" w:cstheme="minorHAnsi"/>
          <w:color w:val="000000" w:themeColor="text1"/>
          <w:kern w:val="2"/>
        </w:rPr>
        <w:t xml:space="preserve"> collected and reported data differently from the Office of Special Education Programs (OSEP) data formats and instructions. In addition, the data notes provide explanations of substantial changes </w:t>
      </w:r>
      <w:r w:rsidR="00CC4330" w:rsidRPr="001D1228">
        <w:rPr>
          <w:rFonts w:eastAsiaTheme="minorEastAsia" w:cstheme="minorHAnsi"/>
          <w:color w:val="000000" w:themeColor="text1"/>
          <w:kern w:val="2"/>
        </w:rPr>
        <w:t>from previous year</w:t>
      </w:r>
      <w:r w:rsidR="00435380" w:rsidRPr="001D1228">
        <w:rPr>
          <w:rFonts w:eastAsiaTheme="minorEastAsia" w:cstheme="minorHAnsi"/>
          <w:color w:val="000000" w:themeColor="text1"/>
          <w:kern w:val="2"/>
        </w:rPr>
        <w:t>’s submissions</w:t>
      </w:r>
      <w:r w:rsidR="00CC4330" w:rsidRPr="001D1228">
        <w:rPr>
          <w:rFonts w:eastAsiaTheme="minorEastAsia" w:cstheme="minorHAnsi"/>
          <w:color w:val="000000" w:themeColor="text1"/>
          <w:kern w:val="2"/>
        </w:rPr>
        <w:t xml:space="preserve"> as well as</w:t>
      </w:r>
      <w:r w:rsidRPr="001D1228">
        <w:rPr>
          <w:rFonts w:eastAsiaTheme="minorEastAsia" w:cstheme="minorHAnsi"/>
          <w:color w:val="000000" w:themeColor="text1"/>
          <w:kern w:val="2"/>
        </w:rPr>
        <w:t xml:space="preserve"> other</w:t>
      </w:r>
      <w:r w:rsidR="00CC4330" w:rsidRPr="001D1228">
        <w:rPr>
          <w:rFonts w:eastAsiaTheme="minorEastAsia" w:cstheme="minorHAnsi"/>
          <w:color w:val="000000" w:themeColor="text1"/>
          <w:kern w:val="2"/>
        </w:rPr>
        <w:t xml:space="preserve"> information </w:t>
      </w:r>
      <w:r w:rsidRPr="001D1228">
        <w:rPr>
          <w:rFonts w:eastAsiaTheme="minorEastAsia" w:cstheme="minorHAnsi"/>
          <w:color w:val="000000" w:themeColor="text1"/>
          <w:kern w:val="2"/>
        </w:rPr>
        <w:t xml:space="preserve">that data users may find </w:t>
      </w:r>
      <w:bookmarkStart w:id="0" w:name="_GoBack"/>
      <w:bookmarkEnd w:id="0"/>
      <w:r w:rsidRPr="001D1228">
        <w:rPr>
          <w:rFonts w:eastAsiaTheme="minorEastAsia" w:cstheme="minorHAnsi"/>
          <w:color w:val="000000" w:themeColor="text1"/>
          <w:kern w:val="2"/>
        </w:rPr>
        <w:t>notable or of interest</w:t>
      </w:r>
      <w:r w:rsidR="00CC4330" w:rsidRPr="001D1228">
        <w:rPr>
          <w:rFonts w:eastAsiaTheme="minorEastAsia" w:cstheme="minorHAnsi"/>
          <w:color w:val="000000" w:themeColor="text1"/>
          <w:kern w:val="2"/>
        </w:rPr>
        <w:t xml:space="preserve"> when reviewing and using these data.</w:t>
      </w:r>
    </w:p>
    <w:p w14:paraId="4231238C" w14:textId="3BDAE371" w:rsidR="00AF1ED0" w:rsidRPr="001D1228" w:rsidRDefault="00AF1ED0" w:rsidP="00E97E0B">
      <w:pPr>
        <w:rPr>
          <w:rFonts w:eastAsia="Calibri" w:cstheme="minorHAnsi"/>
          <w:kern w:val="2"/>
        </w:rPr>
      </w:pPr>
      <w:r w:rsidRPr="001D1228">
        <w:rPr>
          <w:rFonts w:eastAsiaTheme="minorEastAsia" w:cstheme="minorHAnsi"/>
          <w:color w:val="000000" w:themeColor="text1"/>
          <w:kern w:val="2"/>
        </w:rPr>
        <w:t>Additional information and explanation related to the assessment data submitted via ED</w:t>
      </w:r>
      <w:r w:rsidRPr="001D1228">
        <w:rPr>
          <w:rFonts w:eastAsiaTheme="minorEastAsia" w:cstheme="minorHAnsi"/>
          <w:i/>
          <w:color w:val="000000" w:themeColor="text1"/>
          <w:kern w:val="2"/>
        </w:rPr>
        <w:t>Facts</w:t>
      </w:r>
      <w:r w:rsidRPr="001D1228">
        <w:rPr>
          <w:rFonts w:eastAsiaTheme="minorEastAsia" w:cstheme="minorHAnsi"/>
          <w:color w:val="000000" w:themeColor="text1"/>
          <w:kern w:val="2"/>
        </w:rPr>
        <w:t xml:space="preserve"> for the purposes of the Consolidated State Performance Reports (CSPR) are available at the following link:  </w:t>
      </w:r>
      <w:hyperlink r:id="rId13" w:history="1">
        <w:r w:rsidR="00275237" w:rsidRPr="001D1228">
          <w:rPr>
            <w:rFonts w:cstheme="minorHAnsi"/>
            <w:color w:val="0000FF"/>
            <w:kern w:val="2"/>
            <w:u w:val="single"/>
          </w:rPr>
          <w:t>Consolidated State Performance Reports</w:t>
        </w:r>
      </w:hyperlink>
      <w:r w:rsidR="005B2E05" w:rsidRPr="001D1228">
        <w:rPr>
          <w:rFonts w:cstheme="minorHAnsi"/>
          <w:kern w:val="2"/>
        </w:rPr>
        <w:t>.</w:t>
      </w:r>
    </w:p>
    <w:p w14:paraId="12D03777" w14:textId="540DB40A" w:rsidR="007A4D52" w:rsidRPr="001D1228" w:rsidRDefault="008801C5" w:rsidP="001D1228">
      <w:pPr>
        <w:pStyle w:val="Heading1"/>
        <w:rPr>
          <w:kern w:val="2"/>
        </w:rPr>
      </w:pPr>
      <w:r w:rsidRPr="001D1228">
        <w:rPr>
          <w:kern w:val="2"/>
        </w:rPr>
        <w:t>Alaska</w:t>
      </w:r>
    </w:p>
    <w:p w14:paraId="502FEEA5" w14:textId="11800716" w:rsidR="00723564" w:rsidRPr="001D1228" w:rsidRDefault="008801C5" w:rsidP="001D1228">
      <w:pPr>
        <w:rPr>
          <w:kern w:val="2"/>
        </w:rPr>
      </w:pPr>
      <w:r w:rsidRPr="001D1228">
        <w:rPr>
          <w:kern w:val="2"/>
        </w:rPr>
        <w:t xml:space="preserve">On April 1, 2016, the Alaska Department of Education &amp; Early Development (DEED) announced that the state's general and alternate assessments in English language arts, mathematics, and science had been canceled. This decision was made because of unexplained technology errors and repeated interruptions in computer-based testing following a construction accident that severed a fiber-optic cable. The technical failure was statewide, resulting in no valid, reliable, usable data in Alaska's 54 school districts. </w:t>
      </w:r>
    </w:p>
    <w:p w14:paraId="20823ECC" w14:textId="363B20C3" w:rsidR="008801C5" w:rsidRPr="001D1228" w:rsidRDefault="008801C5" w:rsidP="001D1228">
      <w:pPr>
        <w:rPr>
          <w:kern w:val="2"/>
        </w:rPr>
      </w:pPr>
      <w:r w:rsidRPr="001D1228">
        <w:rPr>
          <w:kern w:val="2"/>
        </w:rPr>
        <w:t>DEED was able to calculate crude estimates of the count and percentage of students who were able to complete part or all of each of the three content assessments. The caveats with these estimates are:</w:t>
      </w:r>
    </w:p>
    <w:p w14:paraId="3FAFD5A0" w14:textId="2674CCEB" w:rsidR="008801C5" w:rsidRPr="001D1228" w:rsidRDefault="008801C5" w:rsidP="001D1228">
      <w:pPr>
        <w:rPr>
          <w:kern w:val="2"/>
        </w:rPr>
      </w:pPr>
      <w:r w:rsidRPr="001D1228">
        <w:rPr>
          <w:kern w:val="2"/>
        </w:rPr>
        <w:t>The figures should not be interpreted as participation rates, and they should not be compared to published participation rates from prior years. After the assessments had been canceled, DEED canceled the data collection that is used to determine enrollment on the first day of testing, which serves as the denominator of the participation rate calculation. Also, since no assessments were scored, no achievement levels were assigned. Therefore, zero students actually participated in the 2015-2016 assessments.</w:t>
      </w:r>
    </w:p>
    <w:p w14:paraId="57A339D5" w14:textId="503A81A2" w:rsidR="008801C5" w:rsidRPr="001D1228" w:rsidRDefault="008801C5" w:rsidP="00ED6469">
      <w:pPr>
        <w:pStyle w:val="ListParagraph"/>
        <w:numPr>
          <w:ilvl w:val="0"/>
          <w:numId w:val="1"/>
        </w:numPr>
        <w:contextualSpacing w:val="0"/>
        <w:rPr>
          <w:rStyle w:val="Style1"/>
          <w:rFonts w:cstheme="minorHAnsi"/>
          <w:kern w:val="2"/>
          <w:sz w:val="22"/>
        </w:rPr>
      </w:pPr>
      <w:r w:rsidRPr="001D1228">
        <w:rPr>
          <w:rStyle w:val="Style1"/>
          <w:rFonts w:cstheme="minorHAnsi"/>
          <w:kern w:val="2"/>
          <w:sz w:val="22"/>
        </w:rPr>
        <w:t>DEED has no information about the extent to which students scheduled to take the paper-based version of the assessment may have completed the assessment. DEED only has access to data for students scheduled to take the computer-based version of the assessment.</w:t>
      </w:r>
    </w:p>
    <w:p w14:paraId="2BEE90FF" w14:textId="3C71922F" w:rsidR="008801C5" w:rsidRPr="001D1228" w:rsidRDefault="008801C5" w:rsidP="00ED6469">
      <w:pPr>
        <w:pStyle w:val="ListParagraph"/>
        <w:numPr>
          <w:ilvl w:val="0"/>
          <w:numId w:val="1"/>
        </w:numPr>
        <w:contextualSpacing w:val="0"/>
        <w:rPr>
          <w:rStyle w:val="Style1"/>
          <w:rFonts w:cstheme="minorHAnsi"/>
          <w:kern w:val="2"/>
          <w:sz w:val="22"/>
        </w:rPr>
      </w:pPr>
      <w:r w:rsidRPr="001D1228">
        <w:rPr>
          <w:rStyle w:val="Style1"/>
          <w:rFonts w:cstheme="minorHAnsi"/>
          <w:kern w:val="2"/>
          <w:sz w:val="22"/>
        </w:rPr>
        <w:t>DEED has no data on how many items students answered. Estimates of the count and percentage of students who were able to complete part or all of each of the three content assessments are based on the test status from the vendor’s assessment portal.</w:t>
      </w:r>
    </w:p>
    <w:p w14:paraId="7A3D60B3" w14:textId="587C3613" w:rsidR="008801C5" w:rsidRPr="001D1228" w:rsidRDefault="008801C5" w:rsidP="00ED6469">
      <w:pPr>
        <w:pStyle w:val="ListParagraph"/>
        <w:numPr>
          <w:ilvl w:val="0"/>
          <w:numId w:val="1"/>
        </w:numPr>
        <w:contextualSpacing w:val="0"/>
        <w:rPr>
          <w:rStyle w:val="Style1"/>
          <w:rFonts w:cstheme="minorHAnsi"/>
          <w:kern w:val="2"/>
          <w:sz w:val="22"/>
        </w:rPr>
      </w:pPr>
      <w:r w:rsidRPr="001D1228">
        <w:rPr>
          <w:rStyle w:val="Style1"/>
          <w:rFonts w:cstheme="minorHAnsi"/>
          <w:kern w:val="2"/>
          <w:sz w:val="22"/>
        </w:rPr>
        <w:t>DEED has no data on students scheduled to take the alternate assessment.</w:t>
      </w:r>
    </w:p>
    <w:p w14:paraId="48189C69" w14:textId="60F786E6" w:rsidR="008801C5" w:rsidRPr="001D1228" w:rsidRDefault="008801C5" w:rsidP="001D1228">
      <w:pPr>
        <w:keepNext/>
        <w:rPr>
          <w:rStyle w:val="Style1"/>
          <w:rFonts w:cstheme="minorHAnsi"/>
          <w:kern w:val="2"/>
          <w:sz w:val="22"/>
        </w:rPr>
      </w:pPr>
      <w:r w:rsidRPr="001D1228">
        <w:rPr>
          <w:rStyle w:val="Style1"/>
          <w:rFonts w:cstheme="minorHAnsi"/>
          <w:kern w:val="2"/>
          <w:sz w:val="22"/>
        </w:rPr>
        <w:t>Using unaudited data from the vendor’s assessment portal:</w:t>
      </w:r>
    </w:p>
    <w:p w14:paraId="7C8B05F7" w14:textId="427F5632" w:rsidR="008801C5" w:rsidRPr="001D1228" w:rsidRDefault="008801C5" w:rsidP="00ED6469">
      <w:pPr>
        <w:pStyle w:val="ListParagraph"/>
        <w:numPr>
          <w:ilvl w:val="0"/>
          <w:numId w:val="2"/>
        </w:numPr>
        <w:ind w:left="720" w:hanging="360"/>
        <w:rPr>
          <w:rStyle w:val="Style1"/>
          <w:rFonts w:cstheme="minorHAnsi"/>
          <w:kern w:val="2"/>
          <w:sz w:val="22"/>
        </w:rPr>
      </w:pPr>
      <w:r w:rsidRPr="001D1228">
        <w:rPr>
          <w:rStyle w:val="Style1"/>
          <w:rFonts w:cstheme="minorHAnsi"/>
          <w:kern w:val="2"/>
          <w:sz w:val="22"/>
        </w:rPr>
        <w:t>7.8 percent of the students scheduled to take the mathematics content assessment completed at least one of the four stages, and 5.0 percent of the students scheduled to take the mathematics content assessment completed all four stages.</w:t>
      </w:r>
    </w:p>
    <w:p w14:paraId="3E4C14DD" w14:textId="1ACA145F" w:rsidR="008801C5" w:rsidRPr="001D1228" w:rsidRDefault="008801C5" w:rsidP="00ED6469">
      <w:pPr>
        <w:pStyle w:val="ListParagraph"/>
        <w:numPr>
          <w:ilvl w:val="0"/>
          <w:numId w:val="2"/>
        </w:numPr>
        <w:ind w:left="720" w:hanging="360"/>
        <w:rPr>
          <w:rStyle w:val="Style1"/>
          <w:rFonts w:cstheme="minorHAnsi"/>
          <w:kern w:val="2"/>
          <w:sz w:val="22"/>
        </w:rPr>
      </w:pPr>
      <w:r w:rsidRPr="001D1228">
        <w:rPr>
          <w:rStyle w:val="Style1"/>
          <w:rFonts w:cstheme="minorHAnsi"/>
          <w:kern w:val="2"/>
          <w:sz w:val="22"/>
        </w:rPr>
        <w:lastRenderedPageBreak/>
        <w:t>13.8 percent of the students scheduled to take the English language arts content assessment completed at least one of the four stages, and 8.2 percent of the students scheduled to take the English language arts content assessment completed all four stages.</w:t>
      </w:r>
    </w:p>
    <w:p w14:paraId="12D03789" w14:textId="552A2E14" w:rsidR="009B275C" w:rsidRPr="001D1228" w:rsidRDefault="005A2198" w:rsidP="001D1228">
      <w:pPr>
        <w:pStyle w:val="Heading1"/>
        <w:rPr>
          <w:kern w:val="2"/>
        </w:rPr>
      </w:pPr>
      <w:r w:rsidRPr="001D1228">
        <w:rPr>
          <w:kern w:val="2"/>
        </w:rPr>
        <w:t>Delaware</w:t>
      </w:r>
    </w:p>
    <w:p w14:paraId="0C3B67BA" w14:textId="7138B087" w:rsidR="00BF3155" w:rsidRPr="001D1228" w:rsidRDefault="00BF3155" w:rsidP="005E0CE2">
      <w:pPr>
        <w:rPr>
          <w:rFonts w:cstheme="minorHAnsi"/>
          <w:kern w:val="2"/>
        </w:rPr>
      </w:pPr>
      <w:r w:rsidRPr="001D1228">
        <w:rPr>
          <w:rFonts w:cstheme="minorHAnsi"/>
          <w:kern w:val="2"/>
        </w:rPr>
        <w:t xml:space="preserve">DOE for the SY 2014-2015 previously had a different method to count participation for all students completing state assessments. The count for 2015 includes students who did not </w:t>
      </w:r>
      <w:r w:rsidR="001D1228" w:rsidRPr="001D1228">
        <w:rPr>
          <w:rFonts w:cstheme="minorHAnsi"/>
          <w:kern w:val="2"/>
        </w:rPr>
        <w:t>receive</w:t>
      </w:r>
      <w:r w:rsidRPr="001D1228">
        <w:rPr>
          <w:rFonts w:cstheme="minorHAnsi"/>
          <w:kern w:val="2"/>
        </w:rPr>
        <w:t xml:space="preserve"> a valid score</w:t>
      </w:r>
      <w:r w:rsidR="009E67E4" w:rsidRPr="001D1228">
        <w:rPr>
          <w:rFonts w:cstheme="minorHAnsi"/>
          <w:kern w:val="2"/>
        </w:rPr>
        <w:t xml:space="preserve"> for</w:t>
      </w:r>
      <w:r w:rsidRPr="001D1228">
        <w:rPr>
          <w:rFonts w:cstheme="minorHAnsi"/>
          <w:kern w:val="2"/>
        </w:rPr>
        <w:t xml:space="preserve"> performance but were counted in participation. These counts cannot be compared with SY 2016 data because participation rates are again based on only eligible students who successfully completed an assessment and received a valid score for performance. These counts truly reflect the participation rates for DOE.</w:t>
      </w:r>
      <w:r w:rsidR="005B2E05" w:rsidRPr="001D1228">
        <w:rPr>
          <w:rFonts w:cstheme="minorHAnsi"/>
          <w:kern w:val="2"/>
        </w:rPr>
        <w:t xml:space="preserve"> </w:t>
      </w:r>
    </w:p>
    <w:p w14:paraId="12D037A1" w14:textId="25ECC3E2" w:rsidR="00765E68" w:rsidRPr="001D1228" w:rsidRDefault="0061573D" w:rsidP="001D1228">
      <w:pPr>
        <w:pStyle w:val="Heading1"/>
        <w:rPr>
          <w:kern w:val="2"/>
        </w:rPr>
      </w:pPr>
      <w:r w:rsidRPr="001D1228">
        <w:rPr>
          <w:kern w:val="2"/>
        </w:rPr>
        <w:t>Florida</w:t>
      </w:r>
    </w:p>
    <w:p w14:paraId="0A42EDAC" w14:textId="209649BB" w:rsidR="0061573D" w:rsidRPr="001D1228" w:rsidRDefault="006943DC" w:rsidP="00E97E0B">
      <w:pPr>
        <w:autoSpaceDE w:val="0"/>
        <w:autoSpaceDN w:val="0"/>
        <w:adjustRightInd w:val="0"/>
        <w:rPr>
          <w:rFonts w:cstheme="minorHAnsi"/>
          <w:bCs/>
          <w:kern w:val="2"/>
        </w:rPr>
      </w:pPr>
      <w:r w:rsidRPr="001D1228">
        <w:rPr>
          <w:rFonts w:cstheme="minorHAnsi"/>
          <w:bCs/>
          <w:kern w:val="2"/>
        </w:rPr>
        <w:t>T</w:t>
      </w:r>
      <w:r w:rsidR="0061573D" w:rsidRPr="001D1228">
        <w:rPr>
          <w:rFonts w:cstheme="minorHAnsi"/>
          <w:bCs/>
          <w:kern w:val="2"/>
        </w:rPr>
        <w:t>he achievement/proficiency data for Reading/Language Arts and Mathematics for all reported grades will not be available until after the state board approves new achievement levels for the new alternate assessment in May 2017.</w:t>
      </w:r>
    </w:p>
    <w:p w14:paraId="761783CA" w14:textId="7FE1E613" w:rsidR="0061573D" w:rsidRPr="001D1228" w:rsidRDefault="0061573D" w:rsidP="005E0CE2">
      <w:pPr>
        <w:autoSpaceDE w:val="0"/>
        <w:autoSpaceDN w:val="0"/>
        <w:adjustRightInd w:val="0"/>
        <w:rPr>
          <w:rFonts w:cstheme="minorHAnsi"/>
          <w:bCs/>
          <w:kern w:val="2"/>
        </w:rPr>
      </w:pPr>
      <w:r w:rsidRPr="001D1228">
        <w:rPr>
          <w:rFonts w:cstheme="minorHAnsi"/>
          <w:bCs/>
          <w:kern w:val="2"/>
        </w:rPr>
        <w:t>Florida includes all students who participate in statewide testing, even those who are taking a legacy test or retaking a grade level test in the fall due to previous retention in order to meet graduation requirements. These data are not included in Florida’s school grades system or in the proficiency file.</w:t>
      </w:r>
    </w:p>
    <w:p w14:paraId="12D037B7" w14:textId="0CBC29B1" w:rsidR="00765E68" w:rsidRPr="001D1228" w:rsidRDefault="0011316B" w:rsidP="001D1228">
      <w:pPr>
        <w:pStyle w:val="Heading1"/>
        <w:rPr>
          <w:kern w:val="2"/>
        </w:rPr>
      </w:pPr>
      <w:r w:rsidRPr="001D1228">
        <w:rPr>
          <w:kern w:val="2"/>
        </w:rPr>
        <w:t>Indiana</w:t>
      </w:r>
    </w:p>
    <w:p w14:paraId="17F90B46" w14:textId="77777777" w:rsidR="0011316B" w:rsidRPr="001D1228" w:rsidRDefault="0011316B" w:rsidP="001D1228">
      <w:pPr>
        <w:rPr>
          <w:kern w:val="2"/>
        </w:rPr>
      </w:pPr>
      <w:r w:rsidRPr="001D1228">
        <w:rPr>
          <w:kern w:val="2"/>
        </w:rPr>
        <w:t xml:space="preserve">The data reported for ISTAR, Indiana’s alternate assessment, reflects the anticipated results from ISTAR for 2015-16 and are consistent with Indiana’s pattern of data collection. The data for 2015-16 cannot be reported as cut scores for the new assessment were not able to be achieved for this school year. Indiana’s Alternate Assessment took place, students were tested, but students were not graded and no proficiency levels were assigned. These students are included in the number of students enrolled but not in the number of students participating. </w:t>
      </w:r>
    </w:p>
    <w:p w14:paraId="4EE1076F" w14:textId="5973F5CE" w:rsidR="0011316B" w:rsidRPr="001D1228" w:rsidRDefault="0011316B" w:rsidP="001D1228">
      <w:pPr>
        <w:rPr>
          <w:kern w:val="2"/>
        </w:rPr>
      </w:pPr>
      <w:r w:rsidRPr="001D1228">
        <w:rPr>
          <w:kern w:val="2"/>
        </w:rPr>
        <w:t>Children with disabilities (IDEA): Indiana's Alternate Assessment Based on Alternate Achievement Standards (ALTASSALTACH) assessment took place, students were tested but student were not graded so no proficiency levels were assigned. These students are included in #Student Enrolled but not in #Students Participating.</w:t>
      </w:r>
    </w:p>
    <w:p w14:paraId="3721F7A7" w14:textId="77777777" w:rsidR="00CD2E25" w:rsidRPr="001D1228" w:rsidRDefault="00CD2E25" w:rsidP="001D1228">
      <w:pPr>
        <w:pStyle w:val="Heading1"/>
        <w:rPr>
          <w:kern w:val="2"/>
        </w:rPr>
      </w:pPr>
      <w:r w:rsidRPr="001D1228">
        <w:rPr>
          <w:kern w:val="2"/>
        </w:rPr>
        <w:t>Massachusetts</w:t>
      </w:r>
    </w:p>
    <w:p w14:paraId="2D268C99" w14:textId="4D169BAE" w:rsidR="00CD2E25" w:rsidRPr="00ED6469" w:rsidRDefault="00CD2E25" w:rsidP="00E97E0B">
      <w:pPr>
        <w:spacing w:after="240"/>
        <w:rPr>
          <w:rFonts w:cstheme="minorHAnsi"/>
          <w:bCs/>
          <w:spacing w:val="-2"/>
          <w:kern w:val="2"/>
        </w:rPr>
      </w:pPr>
      <w:r w:rsidRPr="00ED6469">
        <w:rPr>
          <w:rFonts w:cstheme="minorHAnsi"/>
          <w:spacing w:val="-2"/>
          <w:kern w:val="2"/>
        </w:rPr>
        <w:t xml:space="preserve">The reason Massachusetts reported a larger number of students in their participation files (N185) than were reflected in our assessment files (N175) is due to first year ELL students. The first year ELL students participate in the MCAS exams, but may not receive a valid score. This process helps to familiarize ELL students with the test. If the student receives a proficient score or better they receive a valid score; if they </w:t>
      </w:r>
      <w:r w:rsidRPr="00ED6469">
        <w:rPr>
          <w:rFonts w:cstheme="minorHAnsi"/>
          <w:spacing w:val="-2"/>
          <w:kern w:val="2"/>
        </w:rPr>
        <w:lastRenderedPageBreak/>
        <w:t>do not receive a proficient score, they are flagged as 1st year ELL students and considered as participating. The data reported matches the MCAS data reported on our Dep</w:t>
      </w:r>
      <w:r w:rsidR="000719C4" w:rsidRPr="00ED6469">
        <w:rPr>
          <w:rFonts w:cstheme="minorHAnsi"/>
          <w:spacing w:val="-2"/>
          <w:kern w:val="2"/>
        </w:rPr>
        <w:t>artment's Profiles webpage.</w:t>
      </w:r>
      <w:r w:rsidRPr="00ED6469" w:rsidDel="001B68F1">
        <w:rPr>
          <w:rFonts w:cstheme="minorHAnsi"/>
          <w:spacing w:val="-2"/>
          <w:kern w:val="2"/>
        </w:rPr>
        <w:t xml:space="preserve"> </w:t>
      </w:r>
    </w:p>
    <w:p w14:paraId="5A6D3112" w14:textId="77777777" w:rsidR="00CD2E25" w:rsidRPr="001D1228" w:rsidRDefault="00CD2E25" w:rsidP="001D1228">
      <w:pPr>
        <w:pStyle w:val="Heading1"/>
        <w:rPr>
          <w:kern w:val="2"/>
        </w:rPr>
      </w:pPr>
      <w:r w:rsidRPr="001D1228">
        <w:rPr>
          <w:kern w:val="2"/>
        </w:rPr>
        <w:t xml:space="preserve">Montana </w:t>
      </w:r>
    </w:p>
    <w:p w14:paraId="02581A88" w14:textId="77777777" w:rsidR="001D1228" w:rsidRPr="001D1228" w:rsidRDefault="00CD2E25" w:rsidP="001D1228">
      <w:pPr>
        <w:rPr>
          <w:kern w:val="2"/>
        </w:rPr>
      </w:pPr>
      <w:r w:rsidRPr="001D1228">
        <w:rPr>
          <w:kern w:val="2"/>
        </w:rPr>
        <w:t>Montana has not yet identified performance levels for the ACT assessment. We plan to do so as soon as possible. We have reported the 11th grade students taking the ACT as participants, but no proficiency level data is available.</w:t>
      </w:r>
    </w:p>
    <w:p w14:paraId="7FD757E6" w14:textId="13997CDE" w:rsidR="001D1228" w:rsidRPr="001D1228" w:rsidRDefault="000719C4" w:rsidP="001D1228">
      <w:pPr>
        <w:rPr>
          <w:kern w:val="2"/>
        </w:rPr>
      </w:pPr>
      <w:r w:rsidRPr="001D1228">
        <w:rPr>
          <w:kern w:val="2"/>
        </w:rPr>
        <w:t>Montana</w:t>
      </w:r>
      <w:r w:rsidR="00CD2E25" w:rsidRPr="001D1228">
        <w:rPr>
          <w:kern w:val="2"/>
        </w:rPr>
        <w:t xml:space="preserve"> switched the 11th grade assessment from the SBAC to the ACT for school year 2015-2016.  Montana has not yet </w:t>
      </w:r>
      <w:r w:rsidR="00B21123" w:rsidRPr="001D1228">
        <w:rPr>
          <w:kern w:val="2"/>
        </w:rPr>
        <w:t>identified</w:t>
      </w:r>
      <w:r w:rsidR="00CD2E25" w:rsidRPr="001D1228">
        <w:rPr>
          <w:kern w:val="2"/>
        </w:rPr>
        <w:t xml:space="preserve"> performance levels for the ACT assessment.</w:t>
      </w:r>
      <w:r w:rsidR="005B2E05" w:rsidRPr="001D1228">
        <w:rPr>
          <w:kern w:val="2"/>
        </w:rPr>
        <w:t xml:space="preserve"> </w:t>
      </w:r>
    </w:p>
    <w:p w14:paraId="4C6EA211" w14:textId="77777777" w:rsidR="001D1228" w:rsidRPr="001D1228" w:rsidRDefault="00CD2E25" w:rsidP="001D1228">
      <w:pPr>
        <w:rPr>
          <w:kern w:val="2"/>
        </w:rPr>
      </w:pPr>
      <w:r w:rsidRPr="001D1228">
        <w:rPr>
          <w:kern w:val="2"/>
        </w:rPr>
        <w:t>Most (95 percent) of the 11th grade students participated in the ACT assessment and were reported as participants with no performance level.</w:t>
      </w:r>
      <w:r w:rsidR="005B2E05" w:rsidRPr="001D1228">
        <w:rPr>
          <w:kern w:val="2"/>
        </w:rPr>
        <w:t xml:space="preserve"> </w:t>
      </w:r>
    </w:p>
    <w:p w14:paraId="47AB1D58" w14:textId="77777777" w:rsidR="001D1228" w:rsidRPr="001D1228" w:rsidRDefault="00CD2E25" w:rsidP="001D1228">
      <w:pPr>
        <w:rPr>
          <w:kern w:val="2"/>
        </w:rPr>
      </w:pPr>
      <w:r w:rsidRPr="001D1228">
        <w:rPr>
          <w:kern w:val="2"/>
        </w:rPr>
        <w:t>In addition, with the transition to the SBAC test for Grades 3-8, which has a multiplicity of universal supports as well as accommodations, we began to use only those pieces that the SBAC assessment labeled "accommodations" instead of mirroring what were defined as "accommodations" on the previous assessment.  This resulted in a narrower definition of "accommodations," which resulted in fewer "accommodations" in the count.</w:t>
      </w:r>
    </w:p>
    <w:p w14:paraId="2722C5AE" w14:textId="4B4C42CA" w:rsidR="00CD2E25" w:rsidRPr="001D1228" w:rsidRDefault="00CD2E25" w:rsidP="001D1228">
      <w:pPr>
        <w:rPr>
          <w:kern w:val="2"/>
        </w:rPr>
      </w:pPr>
      <w:r w:rsidRPr="001D1228">
        <w:rPr>
          <w:kern w:val="2"/>
        </w:rPr>
        <w:t xml:space="preserve">The only 11th grade students who were assigned proficiency levels for the ELA and Math assessments were the students taking the alternate assessment (the Multi-State Alternate Assessments (MSAA)).  The other 11th grade students participated in the ACT test, for which Montana does not at the current time have defined proficiency levels.  </w:t>
      </w:r>
    </w:p>
    <w:p w14:paraId="3DDE0433" w14:textId="77777777" w:rsidR="00CD2E25" w:rsidRPr="001D1228" w:rsidRDefault="00CD2E25" w:rsidP="001D1228">
      <w:pPr>
        <w:pStyle w:val="Heading1"/>
        <w:rPr>
          <w:kern w:val="2"/>
        </w:rPr>
      </w:pPr>
      <w:r w:rsidRPr="001D1228">
        <w:rPr>
          <w:kern w:val="2"/>
        </w:rPr>
        <w:t>Nevada</w:t>
      </w:r>
    </w:p>
    <w:p w14:paraId="7C067CC6" w14:textId="44A38176" w:rsidR="00CD2E25" w:rsidRPr="001D1228" w:rsidRDefault="00CD2E25" w:rsidP="001D1228">
      <w:pPr>
        <w:rPr>
          <w:kern w:val="2"/>
        </w:rPr>
      </w:pPr>
      <w:r w:rsidRPr="001D1228">
        <w:rPr>
          <w:kern w:val="2"/>
        </w:rPr>
        <w:t>Data submitted for 178 - Academic Achievement in Reading/Language Arts and 175 - Academic Achievement in Mathematics would only include the assessment results for the End of Course Assessment 1 in each academic area for Grades 9 – 10 and grades 3 – 8 would only include the scores on the Nevada Criterion Reference Test and would be aligned with the participation results as reported in188 - Assessment Participatio</w:t>
      </w:r>
      <w:r w:rsidR="00B21123" w:rsidRPr="001D1228">
        <w:rPr>
          <w:kern w:val="2"/>
        </w:rPr>
        <w:t xml:space="preserve">n in Reading/Language Arts and </w:t>
      </w:r>
      <w:r w:rsidRPr="001D1228">
        <w:rPr>
          <w:kern w:val="2"/>
        </w:rPr>
        <w:t xml:space="preserve">185 - Assessment Participation in Math. </w:t>
      </w:r>
    </w:p>
    <w:p w14:paraId="3AEC95A3" w14:textId="77777777" w:rsidR="00CD2E25" w:rsidRPr="001D1228" w:rsidRDefault="00CD2E25" w:rsidP="001D1228">
      <w:pPr>
        <w:pStyle w:val="Heading1"/>
        <w:rPr>
          <w:kern w:val="2"/>
        </w:rPr>
      </w:pPr>
      <w:r w:rsidRPr="001D1228">
        <w:rPr>
          <w:kern w:val="2"/>
        </w:rPr>
        <w:t>North Dakota</w:t>
      </w:r>
    </w:p>
    <w:p w14:paraId="21354FB4" w14:textId="77777777" w:rsidR="00CD2E25" w:rsidRPr="001D1228" w:rsidRDefault="00CD2E25" w:rsidP="001D1228">
      <w:pPr>
        <w:rPr>
          <w:kern w:val="2"/>
        </w:rPr>
      </w:pPr>
      <w:r w:rsidRPr="001D1228">
        <w:rPr>
          <w:kern w:val="2"/>
        </w:rPr>
        <w:t xml:space="preserve">The state of North Dakota does not use the “Modified Achievement Standards Assessment” in its alternate assessment submission for students, so zeroes are accurate. </w:t>
      </w:r>
    </w:p>
    <w:p w14:paraId="12D037C3" w14:textId="76416697" w:rsidR="00765E68" w:rsidRPr="001D1228" w:rsidRDefault="0011316B" w:rsidP="001D1228">
      <w:pPr>
        <w:pStyle w:val="Heading1"/>
        <w:rPr>
          <w:kern w:val="2"/>
        </w:rPr>
      </w:pPr>
      <w:r w:rsidRPr="001D1228">
        <w:rPr>
          <w:kern w:val="2"/>
        </w:rPr>
        <w:t>Northern Marianas</w:t>
      </w:r>
    </w:p>
    <w:p w14:paraId="2987DFCD" w14:textId="396C2377" w:rsidR="0011316B" w:rsidRPr="001D1228" w:rsidRDefault="0011316B" w:rsidP="001D1228">
      <w:pPr>
        <w:rPr>
          <w:kern w:val="2"/>
        </w:rPr>
      </w:pPr>
      <w:r w:rsidRPr="001D1228">
        <w:rPr>
          <w:kern w:val="2"/>
        </w:rPr>
        <w:t>As an outlying area, CNMI does not report to the Department under ESEA Title 1.</w:t>
      </w:r>
    </w:p>
    <w:p w14:paraId="678B57AB" w14:textId="77777777" w:rsidR="0011316B" w:rsidRPr="001D1228" w:rsidRDefault="0011316B" w:rsidP="001D1228">
      <w:pPr>
        <w:pStyle w:val="Heading1"/>
        <w:rPr>
          <w:kern w:val="2"/>
        </w:rPr>
      </w:pPr>
      <w:r w:rsidRPr="001D1228">
        <w:rPr>
          <w:kern w:val="2"/>
        </w:rPr>
        <w:lastRenderedPageBreak/>
        <w:t>Republic of the Marshall Islands</w:t>
      </w:r>
    </w:p>
    <w:p w14:paraId="67AF3554" w14:textId="06D4B356" w:rsidR="0011316B" w:rsidRPr="001D1228" w:rsidRDefault="0011316B" w:rsidP="001D1228">
      <w:pPr>
        <w:rPr>
          <w:kern w:val="2"/>
        </w:rPr>
      </w:pPr>
      <w:r w:rsidRPr="001D1228">
        <w:rPr>
          <w:kern w:val="2"/>
        </w:rPr>
        <w:t>The Republic of the Marshall Islands is not required to implement ESEA.</w:t>
      </w:r>
    </w:p>
    <w:p w14:paraId="04822C01" w14:textId="1472A1D4" w:rsidR="0011316B" w:rsidRPr="001D1228" w:rsidRDefault="0011316B" w:rsidP="001D1228">
      <w:pPr>
        <w:pStyle w:val="Heading1"/>
        <w:rPr>
          <w:kern w:val="2"/>
        </w:rPr>
      </w:pPr>
      <w:r w:rsidRPr="001D1228">
        <w:rPr>
          <w:kern w:val="2"/>
        </w:rPr>
        <w:t xml:space="preserve">Republic of Palau </w:t>
      </w:r>
    </w:p>
    <w:p w14:paraId="10DED4F1" w14:textId="362BC09A" w:rsidR="0011316B" w:rsidRPr="001D1228" w:rsidRDefault="0011316B" w:rsidP="001D1228">
      <w:pPr>
        <w:rPr>
          <w:kern w:val="2"/>
        </w:rPr>
      </w:pPr>
      <w:r w:rsidRPr="001D1228">
        <w:rPr>
          <w:kern w:val="2"/>
        </w:rPr>
        <w:t>Palau is not required to implement ESEA.</w:t>
      </w:r>
    </w:p>
    <w:p w14:paraId="35734745" w14:textId="38E70AC8" w:rsidR="0011316B" w:rsidRPr="001D1228" w:rsidRDefault="0011316B" w:rsidP="001D1228">
      <w:pPr>
        <w:pStyle w:val="Heading1"/>
        <w:rPr>
          <w:kern w:val="2"/>
        </w:rPr>
      </w:pPr>
      <w:r w:rsidRPr="001D1228">
        <w:rPr>
          <w:kern w:val="2"/>
        </w:rPr>
        <w:t xml:space="preserve">Tennessee </w:t>
      </w:r>
    </w:p>
    <w:p w14:paraId="6C512B7D" w14:textId="7CAC321A" w:rsidR="0011316B" w:rsidRPr="001D1228" w:rsidRDefault="00E57313" w:rsidP="001D1228">
      <w:pPr>
        <w:rPr>
          <w:kern w:val="2"/>
        </w:rPr>
      </w:pPr>
      <w:r w:rsidRPr="001D1228">
        <w:rPr>
          <w:kern w:val="2"/>
        </w:rPr>
        <w:t xml:space="preserve">No students with disabilities in grades 3-8 were reported as taking an assessment and receiving a valid score because Tennessee cancelled testing in 2015-16 for students in grades 3-8 scheduled to take regular math assessments with and without accommodations due to technical challenges in test administration. </w:t>
      </w:r>
    </w:p>
    <w:p w14:paraId="63E6CD8F" w14:textId="55F50774" w:rsidR="00E57313" w:rsidRPr="001D1228" w:rsidRDefault="00E57313" w:rsidP="001D1228">
      <w:pPr>
        <w:pStyle w:val="Heading1"/>
        <w:rPr>
          <w:kern w:val="2"/>
        </w:rPr>
      </w:pPr>
      <w:r w:rsidRPr="001D1228">
        <w:rPr>
          <w:kern w:val="2"/>
        </w:rPr>
        <w:t>Vermont</w:t>
      </w:r>
    </w:p>
    <w:p w14:paraId="12D037DA" w14:textId="65A013D8" w:rsidR="001438E9" w:rsidRPr="001D1228" w:rsidRDefault="00E57313" w:rsidP="001D1228">
      <w:pPr>
        <w:rPr>
          <w:kern w:val="2"/>
        </w:rPr>
      </w:pPr>
      <w:r w:rsidRPr="001D1228">
        <w:rPr>
          <w:kern w:val="2"/>
        </w:rPr>
        <w:t xml:space="preserve">Vermont’s Assessment, Smarter Balanced, does not identify students who were assessed using accommodations. Therefore, all students who took the regular assessment are reported in the REGASSWOACC category. </w:t>
      </w:r>
    </w:p>
    <w:sectPr w:rsidR="001438E9" w:rsidRPr="001D1228" w:rsidSect="000C65B9">
      <w:headerReference w:type="default" r:id="rId14"/>
      <w:footerReference w:type="default" r:id="rId15"/>
      <w:pgSz w:w="12240" w:h="15840"/>
      <w:pgMar w:top="1440" w:right="1440" w:bottom="1440"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CB0D" w14:textId="77777777" w:rsidR="003D72B7" w:rsidRDefault="003D72B7" w:rsidP="003436C5">
      <w:r>
        <w:separator/>
      </w:r>
    </w:p>
  </w:endnote>
  <w:endnote w:type="continuationSeparator" w:id="0">
    <w:p w14:paraId="53648593" w14:textId="77777777" w:rsidR="003D72B7" w:rsidRDefault="003D72B7" w:rsidP="0034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87623"/>
      <w:docPartObj>
        <w:docPartGallery w:val="Page Numbers (Bottom of Page)"/>
        <w:docPartUnique/>
      </w:docPartObj>
    </w:sdtPr>
    <w:sdtEndPr>
      <w:rPr>
        <w:noProof/>
      </w:rPr>
    </w:sdtEndPr>
    <w:sdtContent>
      <w:p w14:paraId="28191750" w14:textId="77777777" w:rsidR="001D1228" w:rsidRDefault="000C65B9" w:rsidP="001D1228">
        <w:pPr>
          <w:pStyle w:val="Footer"/>
          <w:spacing w:before="0"/>
          <w:jc w:val="center"/>
        </w:pPr>
        <w:r>
          <w:fldChar w:fldCharType="begin"/>
        </w:r>
        <w:r>
          <w:instrText xml:space="preserve"> PAGE   \* MERGEFORMAT </w:instrText>
        </w:r>
        <w:r>
          <w:fldChar w:fldCharType="separate"/>
        </w:r>
        <w:r w:rsidR="00724B1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8581B" w14:textId="77777777" w:rsidR="003D72B7" w:rsidRDefault="003D72B7" w:rsidP="003436C5">
      <w:r>
        <w:separator/>
      </w:r>
    </w:p>
  </w:footnote>
  <w:footnote w:type="continuationSeparator" w:id="0">
    <w:p w14:paraId="0C044579" w14:textId="77777777" w:rsidR="003D72B7" w:rsidRDefault="003D72B7" w:rsidP="0034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78C5" w14:textId="77777777" w:rsidR="001D1228" w:rsidRDefault="001D1228" w:rsidP="001D1228">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708C"/>
    <w:multiLevelType w:val="hybridMultilevel"/>
    <w:tmpl w:val="EACC55C8"/>
    <w:lvl w:ilvl="0" w:tplc="04090001">
      <w:start w:val="1"/>
      <w:numFmt w:val="bullet"/>
      <w:lvlText w:val=""/>
      <w:lvlJc w:val="left"/>
      <w:pPr>
        <w:ind w:left="1080" w:hanging="720"/>
      </w:pPr>
      <w:rPr>
        <w:rFonts w:ascii="Symbol" w:hAnsi="Symbol" w:hint="default"/>
      </w:rPr>
    </w:lvl>
    <w:lvl w:ilvl="1" w:tplc="687CC2AE">
      <w:start w:val="3"/>
      <w:numFmt w:val="bullet"/>
      <w:lvlText w:val="•"/>
      <w:lvlJc w:val="left"/>
      <w:pPr>
        <w:ind w:left="1800" w:hanging="720"/>
      </w:pPr>
      <w:rPr>
        <w:rFonts w:ascii="Calibri" w:eastAsiaTheme="minorHAns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B6C3E"/>
    <w:multiLevelType w:val="hybridMultilevel"/>
    <w:tmpl w:val="5434B18A"/>
    <w:lvl w:ilvl="0" w:tplc="52CE01BA">
      <w:start w:val="1"/>
      <w:numFmt w:val="decimal"/>
      <w:lvlText w:val="%1."/>
      <w:lvlJc w:val="left"/>
      <w:pPr>
        <w:ind w:left="1080" w:hanging="720"/>
      </w:pPr>
      <w:rPr>
        <w:rFonts w:hint="default"/>
      </w:rPr>
    </w:lvl>
    <w:lvl w:ilvl="1" w:tplc="687CC2AE">
      <w:start w:val="3"/>
      <w:numFmt w:val="bullet"/>
      <w:lvlText w:val="•"/>
      <w:lvlJc w:val="left"/>
      <w:pPr>
        <w:ind w:left="1800" w:hanging="720"/>
      </w:pPr>
      <w:rPr>
        <w:rFonts w:ascii="Calibri" w:eastAsiaTheme="minorHAns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96"/>
    <w:rsid w:val="00003140"/>
    <w:rsid w:val="00004883"/>
    <w:rsid w:val="00010A9F"/>
    <w:rsid w:val="00032473"/>
    <w:rsid w:val="000425F3"/>
    <w:rsid w:val="00045D31"/>
    <w:rsid w:val="000719C4"/>
    <w:rsid w:val="000863ED"/>
    <w:rsid w:val="00086F5A"/>
    <w:rsid w:val="000A175B"/>
    <w:rsid w:val="000A43DD"/>
    <w:rsid w:val="000C65B9"/>
    <w:rsid w:val="000D129C"/>
    <w:rsid w:val="000D14EC"/>
    <w:rsid w:val="000F5B49"/>
    <w:rsid w:val="00110060"/>
    <w:rsid w:val="0011316B"/>
    <w:rsid w:val="00142FDD"/>
    <w:rsid w:val="001438E9"/>
    <w:rsid w:val="00152D15"/>
    <w:rsid w:val="00166705"/>
    <w:rsid w:val="001957B4"/>
    <w:rsid w:val="00196D75"/>
    <w:rsid w:val="001A1C24"/>
    <w:rsid w:val="001A733C"/>
    <w:rsid w:val="001B68F1"/>
    <w:rsid w:val="001C012F"/>
    <w:rsid w:val="001D1228"/>
    <w:rsid w:val="001F15E2"/>
    <w:rsid w:val="00206E8F"/>
    <w:rsid w:val="00230388"/>
    <w:rsid w:val="00253D44"/>
    <w:rsid w:val="00275237"/>
    <w:rsid w:val="002752AB"/>
    <w:rsid w:val="0029298A"/>
    <w:rsid w:val="0029403D"/>
    <w:rsid w:val="002975F9"/>
    <w:rsid w:val="002B41A3"/>
    <w:rsid w:val="002C5192"/>
    <w:rsid w:val="002E75AD"/>
    <w:rsid w:val="00312CDF"/>
    <w:rsid w:val="0033778A"/>
    <w:rsid w:val="003436C5"/>
    <w:rsid w:val="00344342"/>
    <w:rsid w:val="00365918"/>
    <w:rsid w:val="003D0652"/>
    <w:rsid w:val="003D08A9"/>
    <w:rsid w:val="003D6169"/>
    <w:rsid w:val="003D72B7"/>
    <w:rsid w:val="003E0D4D"/>
    <w:rsid w:val="003E243A"/>
    <w:rsid w:val="003E4B08"/>
    <w:rsid w:val="003F283F"/>
    <w:rsid w:val="004017BF"/>
    <w:rsid w:val="0043195F"/>
    <w:rsid w:val="00435380"/>
    <w:rsid w:val="00445DB1"/>
    <w:rsid w:val="00475CAD"/>
    <w:rsid w:val="00497B52"/>
    <w:rsid w:val="004B46EC"/>
    <w:rsid w:val="004E4A2F"/>
    <w:rsid w:val="004E5E37"/>
    <w:rsid w:val="005232BC"/>
    <w:rsid w:val="005262F8"/>
    <w:rsid w:val="0053092B"/>
    <w:rsid w:val="00535701"/>
    <w:rsid w:val="00543F58"/>
    <w:rsid w:val="005A2198"/>
    <w:rsid w:val="005B0572"/>
    <w:rsid w:val="005B2E05"/>
    <w:rsid w:val="005B3E5C"/>
    <w:rsid w:val="005E0CE2"/>
    <w:rsid w:val="005E126C"/>
    <w:rsid w:val="0061573D"/>
    <w:rsid w:val="006176FF"/>
    <w:rsid w:val="0063266C"/>
    <w:rsid w:val="00632D75"/>
    <w:rsid w:val="00644848"/>
    <w:rsid w:val="00654D51"/>
    <w:rsid w:val="006814CC"/>
    <w:rsid w:val="00683510"/>
    <w:rsid w:val="00685619"/>
    <w:rsid w:val="006857D0"/>
    <w:rsid w:val="00692B45"/>
    <w:rsid w:val="006943DC"/>
    <w:rsid w:val="00696558"/>
    <w:rsid w:val="00696C1C"/>
    <w:rsid w:val="006A680B"/>
    <w:rsid w:val="006C412E"/>
    <w:rsid w:val="006F61C9"/>
    <w:rsid w:val="00706FC8"/>
    <w:rsid w:val="00723564"/>
    <w:rsid w:val="00724B19"/>
    <w:rsid w:val="00750377"/>
    <w:rsid w:val="00765E68"/>
    <w:rsid w:val="00770058"/>
    <w:rsid w:val="00783F56"/>
    <w:rsid w:val="00791C81"/>
    <w:rsid w:val="0079329F"/>
    <w:rsid w:val="007A4D52"/>
    <w:rsid w:val="007C0203"/>
    <w:rsid w:val="007D529D"/>
    <w:rsid w:val="007F58A2"/>
    <w:rsid w:val="00826C7A"/>
    <w:rsid w:val="00833B46"/>
    <w:rsid w:val="00835922"/>
    <w:rsid w:val="0084786F"/>
    <w:rsid w:val="008801C5"/>
    <w:rsid w:val="008A2BBB"/>
    <w:rsid w:val="008A3FE2"/>
    <w:rsid w:val="008A4999"/>
    <w:rsid w:val="008B4769"/>
    <w:rsid w:val="008C3628"/>
    <w:rsid w:val="008C6741"/>
    <w:rsid w:val="008C7EDF"/>
    <w:rsid w:val="008D3C24"/>
    <w:rsid w:val="008D789D"/>
    <w:rsid w:val="00924D87"/>
    <w:rsid w:val="00935318"/>
    <w:rsid w:val="00940192"/>
    <w:rsid w:val="00947B2C"/>
    <w:rsid w:val="00962970"/>
    <w:rsid w:val="00964784"/>
    <w:rsid w:val="00971655"/>
    <w:rsid w:val="009947C1"/>
    <w:rsid w:val="009B275C"/>
    <w:rsid w:val="009B4FC9"/>
    <w:rsid w:val="009B5082"/>
    <w:rsid w:val="009C02FE"/>
    <w:rsid w:val="009C2142"/>
    <w:rsid w:val="009C6C8B"/>
    <w:rsid w:val="009E67E4"/>
    <w:rsid w:val="009F3323"/>
    <w:rsid w:val="009F46B0"/>
    <w:rsid w:val="009F52A8"/>
    <w:rsid w:val="00A15770"/>
    <w:rsid w:val="00A16131"/>
    <w:rsid w:val="00A166F8"/>
    <w:rsid w:val="00A31CE1"/>
    <w:rsid w:val="00A652D5"/>
    <w:rsid w:val="00A66B85"/>
    <w:rsid w:val="00A942EA"/>
    <w:rsid w:val="00AF1ED0"/>
    <w:rsid w:val="00B21123"/>
    <w:rsid w:val="00B40406"/>
    <w:rsid w:val="00B47F34"/>
    <w:rsid w:val="00B520C5"/>
    <w:rsid w:val="00B76829"/>
    <w:rsid w:val="00B8745A"/>
    <w:rsid w:val="00B9490C"/>
    <w:rsid w:val="00BA6405"/>
    <w:rsid w:val="00BB49DF"/>
    <w:rsid w:val="00BD5903"/>
    <w:rsid w:val="00BD740A"/>
    <w:rsid w:val="00BF3155"/>
    <w:rsid w:val="00C03C82"/>
    <w:rsid w:val="00C168F4"/>
    <w:rsid w:val="00C20953"/>
    <w:rsid w:val="00C222AC"/>
    <w:rsid w:val="00C244C0"/>
    <w:rsid w:val="00C43813"/>
    <w:rsid w:val="00C45D3D"/>
    <w:rsid w:val="00C651C8"/>
    <w:rsid w:val="00C65F2E"/>
    <w:rsid w:val="00C8307A"/>
    <w:rsid w:val="00C87031"/>
    <w:rsid w:val="00CB2F23"/>
    <w:rsid w:val="00CC4330"/>
    <w:rsid w:val="00CC75E8"/>
    <w:rsid w:val="00CD2E25"/>
    <w:rsid w:val="00CD7EC3"/>
    <w:rsid w:val="00CE5692"/>
    <w:rsid w:val="00D21570"/>
    <w:rsid w:val="00D338D9"/>
    <w:rsid w:val="00D52F1D"/>
    <w:rsid w:val="00D77E3E"/>
    <w:rsid w:val="00D909B9"/>
    <w:rsid w:val="00D94F96"/>
    <w:rsid w:val="00DA75CA"/>
    <w:rsid w:val="00DA7CC2"/>
    <w:rsid w:val="00DB269B"/>
    <w:rsid w:val="00DD370F"/>
    <w:rsid w:val="00DE0A33"/>
    <w:rsid w:val="00DE5687"/>
    <w:rsid w:val="00E004C4"/>
    <w:rsid w:val="00E17E86"/>
    <w:rsid w:val="00E30C4A"/>
    <w:rsid w:val="00E4701C"/>
    <w:rsid w:val="00E57313"/>
    <w:rsid w:val="00E66B2F"/>
    <w:rsid w:val="00E77E59"/>
    <w:rsid w:val="00E849AB"/>
    <w:rsid w:val="00E97E0B"/>
    <w:rsid w:val="00EB0B3E"/>
    <w:rsid w:val="00EB26DB"/>
    <w:rsid w:val="00ED0C1C"/>
    <w:rsid w:val="00ED6469"/>
    <w:rsid w:val="00EF586F"/>
    <w:rsid w:val="00F1788C"/>
    <w:rsid w:val="00F32272"/>
    <w:rsid w:val="00F45A5E"/>
    <w:rsid w:val="00F45C3B"/>
    <w:rsid w:val="00F64A52"/>
    <w:rsid w:val="00F823E5"/>
    <w:rsid w:val="00F85CA3"/>
    <w:rsid w:val="00F905D0"/>
    <w:rsid w:val="00FB34AC"/>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D0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28"/>
    <w:pPr>
      <w:spacing w:before="240" w:after="0" w:line="240" w:lineRule="auto"/>
    </w:pPr>
  </w:style>
  <w:style w:type="paragraph" w:styleId="Heading1">
    <w:name w:val="heading 1"/>
    <w:basedOn w:val="Normal"/>
    <w:next w:val="Normal"/>
    <w:link w:val="Heading1Char"/>
    <w:uiPriority w:val="9"/>
    <w:qFormat/>
    <w:rsid w:val="001D1228"/>
    <w:pPr>
      <w:keepNext/>
      <w:pBdr>
        <w:bottom w:val="single" w:sz="12" w:space="1" w:color="365F91" w:themeColor="accent1" w:themeShade="BF"/>
      </w:pBdr>
      <w:spacing w:before="480" w:after="80"/>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632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C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2C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F96"/>
    <w:rPr>
      <w:color w:val="0000FF"/>
      <w:u w:val="single"/>
    </w:rPr>
  </w:style>
  <w:style w:type="paragraph" w:styleId="BalloonText">
    <w:name w:val="Balloon Text"/>
    <w:basedOn w:val="Normal"/>
    <w:link w:val="BalloonTextChar"/>
    <w:uiPriority w:val="99"/>
    <w:semiHidden/>
    <w:unhideWhenUsed/>
    <w:rsid w:val="00D94F96"/>
    <w:rPr>
      <w:rFonts w:ascii="Tahoma" w:hAnsi="Tahoma" w:cs="Tahoma"/>
      <w:sz w:val="16"/>
      <w:szCs w:val="16"/>
    </w:rPr>
  </w:style>
  <w:style w:type="character" w:customStyle="1" w:styleId="BalloonTextChar">
    <w:name w:val="Balloon Text Char"/>
    <w:basedOn w:val="DefaultParagraphFont"/>
    <w:link w:val="BalloonText"/>
    <w:uiPriority w:val="99"/>
    <w:semiHidden/>
    <w:rsid w:val="00D94F96"/>
    <w:rPr>
      <w:rFonts w:ascii="Tahoma" w:hAnsi="Tahoma" w:cs="Tahoma"/>
      <w:sz w:val="16"/>
      <w:szCs w:val="16"/>
    </w:rPr>
  </w:style>
  <w:style w:type="character" w:customStyle="1" w:styleId="Style1">
    <w:name w:val="Style1"/>
    <w:basedOn w:val="DefaultParagraphFont"/>
    <w:uiPriority w:val="1"/>
    <w:rsid w:val="00D94F96"/>
    <w:rPr>
      <w:rFonts w:asciiTheme="minorHAnsi" w:hAnsiTheme="minorHAnsi"/>
      <w:b w:val="0"/>
      <w:sz w:val="24"/>
    </w:rPr>
  </w:style>
  <w:style w:type="character" w:styleId="CommentReference">
    <w:name w:val="annotation reference"/>
    <w:basedOn w:val="DefaultParagraphFont"/>
    <w:uiPriority w:val="99"/>
    <w:semiHidden/>
    <w:unhideWhenUsed/>
    <w:rsid w:val="005E126C"/>
    <w:rPr>
      <w:sz w:val="16"/>
      <w:szCs w:val="16"/>
    </w:rPr>
  </w:style>
  <w:style w:type="paragraph" w:styleId="CommentText">
    <w:name w:val="annotation text"/>
    <w:basedOn w:val="Normal"/>
    <w:link w:val="CommentTextChar"/>
    <w:uiPriority w:val="99"/>
    <w:semiHidden/>
    <w:unhideWhenUsed/>
    <w:rsid w:val="005E126C"/>
    <w:rPr>
      <w:sz w:val="20"/>
      <w:szCs w:val="20"/>
    </w:rPr>
  </w:style>
  <w:style w:type="character" w:customStyle="1" w:styleId="CommentTextChar">
    <w:name w:val="Comment Text Char"/>
    <w:basedOn w:val="DefaultParagraphFont"/>
    <w:link w:val="CommentText"/>
    <w:uiPriority w:val="99"/>
    <w:semiHidden/>
    <w:rsid w:val="005E126C"/>
    <w:rPr>
      <w:sz w:val="20"/>
      <w:szCs w:val="20"/>
    </w:rPr>
  </w:style>
  <w:style w:type="paragraph" w:styleId="CommentSubject">
    <w:name w:val="annotation subject"/>
    <w:basedOn w:val="CommentText"/>
    <w:next w:val="CommentText"/>
    <w:link w:val="CommentSubjectChar"/>
    <w:uiPriority w:val="99"/>
    <w:semiHidden/>
    <w:unhideWhenUsed/>
    <w:rsid w:val="005E126C"/>
    <w:rPr>
      <w:b/>
      <w:bCs/>
    </w:rPr>
  </w:style>
  <w:style w:type="character" w:customStyle="1" w:styleId="CommentSubjectChar">
    <w:name w:val="Comment Subject Char"/>
    <w:basedOn w:val="CommentTextChar"/>
    <w:link w:val="CommentSubject"/>
    <w:uiPriority w:val="99"/>
    <w:semiHidden/>
    <w:rsid w:val="005E126C"/>
    <w:rPr>
      <w:b/>
      <w:bCs/>
      <w:sz w:val="20"/>
      <w:szCs w:val="20"/>
    </w:rPr>
  </w:style>
  <w:style w:type="character" w:customStyle="1" w:styleId="Heading1Char">
    <w:name w:val="Heading 1 Char"/>
    <w:basedOn w:val="DefaultParagraphFont"/>
    <w:link w:val="Heading1"/>
    <w:uiPriority w:val="9"/>
    <w:rsid w:val="001D1228"/>
    <w:rPr>
      <w:rFonts w:eastAsiaTheme="majorEastAsia" w:cstheme="minorHAnsi"/>
      <w:b/>
      <w:bCs/>
      <w:sz w:val="24"/>
      <w:szCs w:val="24"/>
    </w:rPr>
  </w:style>
  <w:style w:type="character" w:customStyle="1" w:styleId="Heading2Char">
    <w:name w:val="Heading 2 Char"/>
    <w:basedOn w:val="DefaultParagraphFont"/>
    <w:link w:val="Heading2"/>
    <w:uiPriority w:val="9"/>
    <w:rsid w:val="00632D7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32D75"/>
    <w:pPr>
      <w:spacing w:after="0" w:line="240" w:lineRule="auto"/>
    </w:pPr>
  </w:style>
  <w:style w:type="character" w:customStyle="1" w:styleId="Heading3Char">
    <w:name w:val="Heading 3 Char"/>
    <w:basedOn w:val="DefaultParagraphFont"/>
    <w:link w:val="Heading3"/>
    <w:uiPriority w:val="9"/>
    <w:rsid w:val="00312C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2CD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76FF"/>
    <w:pPr>
      <w:ind w:left="720"/>
      <w:contextualSpacing/>
    </w:pPr>
  </w:style>
  <w:style w:type="paragraph" w:styleId="Header">
    <w:name w:val="header"/>
    <w:basedOn w:val="Normal"/>
    <w:link w:val="HeaderChar"/>
    <w:uiPriority w:val="99"/>
    <w:unhideWhenUsed/>
    <w:rsid w:val="003436C5"/>
    <w:pPr>
      <w:tabs>
        <w:tab w:val="center" w:pos="4680"/>
        <w:tab w:val="right" w:pos="9360"/>
      </w:tabs>
    </w:pPr>
  </w:style>
  <w:style w:type="character" w:customStyle="1" w:styleId="HeaderChar">
    <w:name w:val="Header Char"/>
    <w:basedOn w:val="DefaultParagraphFont"/>
    <w:link w:val="Header"/>
    <w:uiPriority w:val="99"/>
    <w:rsid w:val="003436C5"/>
  </w:style>
  <w:style w:type="paragraph" w:styleId="Footer">
    <w:name w:val="footer"/>
    <w:basedOn w:val="Normal"/>
    <w:link w:val="FooterChar"/>
    <w:uiPriority w:val="99"/>
    <w:unhideWhenUsed/>
    <w:rsid w:val="003436C5"/>
    <w:pPr>
      <w:tabs>
        <w:tab w:val="center" w:pos="4680"/>
        <w:tab w:val="right" w:pos="9360"/>
      </w:tabs>
    </w:pPr>
  </w:style>
  <w:style w:type="character" w:customStyle="1" w:styleId="FooterChar">
    <w:name w:val="Footer Char"/>
    <w:basedOn w:val="DefaultParagraphFont"/>
    <w:link w:val="Footer"/>
    <w:uiPriority w:val="99"/>
    <w:rsid w:val="003436C5"/>
  </w:style>
  <w:style w:type="character" w:customStyle="1" w:styleId="Mention1">
    <w:name w:val="Mention1"/>
    <w:basedOn w:val="DefaultParagraphFont"/>
    <w:uiPriority w:val="99"/>
    <w:semiHidden/>
    <w:unhideWhenUsed/>
    <w:rsid w:val="005B2E05"/>
    <w:rPr>
      <w:color w:val="2B579A"/>
      <w:shd w:val="clear" w:color="auto" w:fill="E6E6E6"/>
    </w:rPr>
  </w:style>
  <w:style w:type="paragraph" w:styleId="Title">
    <w:name w:val="Title"/>
    <w:basedOn w:val="Normal"/>
    <w:next w:val="Normal"/>
    <w:link w:val="TitleChar"/>
    <w:uiPriority w:val="10"/>
    <w:qFormat/>
    <w:rsid w:val="00724B19"/>
    <w:pPr>
      <w:spacing w:before="0" w:after="120"/>
      <w:ind w:firstLine="360"/>
      <w:jc w:val="center"/>
    </w:pPr>
    <w:rPr>
      <w:rFonts w:eastAsiaTheme="minorEastAsia" w:cstheme="minorHAnsi"/>
      <w:b/>
      <w:color w:val="000000" w:themeColor="text1"/>
      <w:kern w:val="2"/>
      <w:sz w:val="28"/>
      <w:szCs w:val="24"/>
    </w:rPr>
  </w:style>
  <w:style w:type="character" w:customStyle="1" w:styleId="TitleChar">
    <w:name w:val="Title Char"/>
    <w:basedOn w:val="DefaultParagraphFont"/>
    <w:link w:val="Title"/>
    <w:uiPriority w:val="10"/>
    <w:rsid w:val="00724B19"/>
    <w:rPr>
      <w:rFonts w:eastAsiaTheme="minorEastAsia" w:cstheme="minorHAnsi"/>
      <w:b/>
      <w:color w:val="000000" w:themeColor="text1"/>
      <w:kern w:val="2"/>
      <w:sz w:val="28"/>
      <w:szCs w:val="24"/>
    </w:rPr>
  </w:style>
  <w:style w:type="paragraph" w:styleId="Subtitle">
    <w:name w:val="Subtitle"/>
    <w:basedOn w:val="Normal"/>
    <w:next w:val="Normal"/>
    <w:link w:val="SubtitleChar"/>
    <w:uiPriority w:val="11"/>
    <w:qFormat/>
    <w:rsid w:val="00724B19"/>
    <w:pPr>
      <w:spacing w:before="0" w:after="240"/>
      <w:ind w:firstLine="360"/>
      <w:jc w:val="center"/>
    </w:pPr>
    <w:rPr>
      <w:rFonts w:eastAsiaTheme="minorEastAsia" w:cstheme="minorHAnsi"/>
      <w:b/>
      <w:color w:val="000000" w:themeColor="text1"/>
      <w:kern w:val="2"/>
      <w:sz w:val="24"/>
      <w:szCs w:val="24"/>
    </w:rPr>
  </w:style>
  <w:style w:type="character" w:customStyle="1" w:styleId="SubtitleChar">
    <w:name w:val="Subtitle Char"/>
    <w:basedOn w:val="DefaultParagraphFont"/>
    <w:link w:val="Subtitle"/>
    <w:uiPriority w:val="11"/>
    <w:rsid w:val="00724B19"/>
    <w:rPr>
      <w:rFonts w:eastAsiaTheme="minorEastAsia" w:cstheme="minorHAnsi"/>
      <w:b/>
      <w:color w:val="000000" w:themeColor="text1"/>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28"/>
    <w:pPr>
      <w:spacing w:before="240" w:after="0" w:line="240" w:lineRule="auto"/>
    </w:pPr>
  </w:style>
  <w:style w:type="paragraph" w:styleId="Heading1">
    <w:name w:val="heading 1"/>
    <w:basedOn w:val="Normal"/>
    <w:next w:val="Normal"/>
    <w:link w:val="Heading1Char"/>
    <w:uiPriority w:val="9"/>
    <w:qFormat/>
    <w:rsid w:val="001D1228"/>
    <w:pPr>
      <w:keepNext/>
      <w:pBdr>
        <w:bottom w:val="single" w:sz="12" w:space="1" w:color="365F91" w:themeColor="accent1" w:themeShade="BF"/>
      </w:pBdr>
      <w:spacing w:before="480" w:after="80"/>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632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C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2C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F96"/>
    <w:rPr>
      <w:color w:val="0000FF"/>
      <w:u w:val="single"/>
    </w:rPr>
  </w:style>
  <w:style w:type="paragraph" w:styleId="BalloonText">
    <w:name w:val="Balloon Text"/>
    <w:basedOn w:val="Normal"/>
    <w:link w:val="BalloonTextChar"/>
    <w:uiPriority w:val="99"/>
    <w:semiHidden/>
    <w:unhideWhenUsed/>
    <w:rsid w:val="00D94F96"/>
    <w:rPr>
      <w:rFonts w:ascii="Tahoma" w:hAnsi="Tahoma" w:cs="Tahoma"/>
      <w:sz w:val="16"/>
      <w:szCs w:val="16"/>
    </w:rPr>
  </w:style>
  <w:style w:type="character" w:customStyle="1" w:styleId="BalloonTextChar">
    <w:name w:val="Balloon Text Char"/>
    <w:basedOn w:val="DefaultParagraphFont"/>
    <w:link w:val="BalloonText"/>
    <w:uiPriority w:val="99"/>
    <w:semiHidden/>
    <w:rsid w:val="00D94F96"/>
    <w:rPr>
      <w:rFonts w:ascii="Tahoma" w:hAnsi="Tahoma" w:cs="Tahoma"/>
      <w:sz w:val="16"/>
      <w:szCs w:val="16"/>
    </w:rPr>
  </w:style>
  <w:style w:type="character" w:customStyle="1" w:styleId="Style1">
    <w:name w:val="Style1"/>
    <w:basedOn w:val="DefaultParagraphFont"/>
    <w:uiPriority w:val="1"/>
    <w:rsid w:val="00D94F96"/>
    <w:rPr>
      <w:rFonts w:asciiTheme="minorHAnsi" w:hAnsiTheme="minorHAnsi"/>
      <w:b w:val="0"/>
      <w:sz w:val="24"/>
    </w:rPr>
  </w:style>
  <w:style w:type="character" w:styleId="CommentReference">
    <w:name w:val="annotation reference"/>
    <w:basedOn w:val="DefaultParagraphFont"/>
    <w:uiPriority w:val="99"/>
    <w:semiHidden/>
    <w:unhideWhenUsed/>
    <w:rsid w:val="005E126C"/>
    <w:rPr>
      <w:sz w:val="16"/>
      <w:szCs w:val="16"/>
    </w:rPr>
  </w:style>
  <w:style w:type="paragraph" w:styleId="CommentText">
    <w:name w:val="annotation text"/>
    <w:basedOn w:val="Normal"/>
    <w:link w:val="CommentTextChar"/>
    <w:uiPriority w:val="99"/>
    <w:semiHidden/>
    <w:unhideWhenUsed/>
    <w:rsid w:val="005E126C"/>
    <w:rPr>
      <w:sz w:val="20"/>
      <w:szCs w:val="20"/>
    </w:rPr>
  </w:style>
  <w:style w:type="character" w:customStyle="1" w:styleId="CommentTextChar">
    <w:name w:val="Comment Text Char"/>
    <w:basedOn w:val="DefaultParagraphFont"/>
    <w:link w:val="CommentText"/>
    <w:uiPriority w:val="99"/>
    <w:semiHidden/>
    <w:rsid w:val="005E126C"/>
    <w:rPr>
      <w:sz w:val="20"/>
      <w:szCs w:val="20"/>
    </w:rPr>
  </w:style>
  <w:style w:type="paragraph" w:styleId="CommentSubject">
    <w:name w:val="annotation subject"/>
    <w:basedOn w:val="CommentText"/>
    <w:next w:val="CommentText"/>
    <w:link w:val="CommentSubjectChar"/>
    <w:uiPriority w:val="99"/>
    <w:semiHidden/>
    <w:unhideWhenUsed/>
    <w:rsid w:val="005E126C"/>
    <w:rPr>
      <w:b/>
      <w:bCs/>
    </w:rPr>
  </w:style>
  <w:style w:type="character" w:customStyle="1" w:styleId="CommentSubjectChar">
    <w:name w:val="Comment Subject Char"/>
    <w:basedOn w:val="CommentTextChar"/>
    <w:link w:val="CommentSubject"/>
    <w:uiPriority w:val="99"/>
    <w:semiHidden/>
    <w:rsid w:val="005E126C"/>
    <w:rPr>
      <w:b/>
      <w:bCs/>
      <w:sz w:val="20"/>
      <w:szCs w:val="20"/>
    </w:rPr>
  </w:style>
  <w:style w:type="character" w:customStyle="1" w:styleId="Heading1Char">
    <w:name w:val="Heading 1 Char"/>
    <w:basedOn w:val="DefaultParagraphFont"/>
    <w:link w:val="Heading1"/>
    <w:uiPriority w:val="9"/>
    <w:rsid w:val="001D1228"/>
    <w:rPr>
      <w:rFonts w:eastAsiaTheme="majorEastAsia" w:cstheme="minorHAnsi"/>
      <w:b/>
      <w:bCs/>
      <w:sz w:val="24"/>
      <w:szCs w:val="24"/>
    </w:rPr>
  </w:style>
  <w:style w:type="character" w:customStyle="1" w:styleId="Heading2Char">
    <w:name w:val="Heading 2 Char"/>
    <w:basedOn w:val="DefaultParagraphFont"/>
    <w:link w:val="Heading2"/>
    <w:uiPriority w:val="9"/>
    <w:rsid w:val="00632D7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32D75"/>
    <w:pPr>
      <w:spacing w:after="0" w:line="240" w:lineRule="auto"/>
    </w:pPr>
  </w:style>
  <w:style w:type="character" w:customStyle="1" w:styleId="Heading3Char">
    <w:name w:val="Heading 3 Char"/>
    <w:basedOn w:val="DefaultParagraphFont"/>
    <w:link w:val="Heading3"/>
    <w:uiPriority w:val="9"/>
    <w:rsid w:val="00312C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2CD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76FF"/>
    <w:pPr>
      <w:ind w:left="720"/>
      <w:contextualSpacing/>
    </w:pPr>
  </w:style>
  <w:style w:type="paragraph" w:styleId="Header">
    <w:name w:val="header"/>
    <w:basedOn w:val="Normal"/>
    <w:link w:val="HeaderChar"/>
    <w:uiPriority w:val="99"/>
    <w:unhideWhenUsed/>
    <w:rsid w:val="003436C5"/>
    <w:pPr>
      <w:tabs>
        <w:tab w:val="center" w:pos="4680"/>
        <w:tab w:val="right" w:pos="9360"/>
      </w:tabs>
    </w:pPr>
  </w:style>
  <w:style w:type="character" w:customStyle="1" w:styleId="HeaderChar">
    <w:name w:val="Header Char"/>
    <w:basedOn w:val="DefaultParagraphFont"/>
    <w:link w:val="Header"/>
    <w:uiPriority w:val="99"/>
    <w:rsid w:val="003436C5"/>
  </w:style>
  <w:style w:type="paragraph" w:styleId="Footer">
    <w:name w:val="footer"/>
    <w:basedOn w:val="Normal"/>
    <w:link w:val="FooterChar"/>
    <w:uiPriority w:val="99"/>
    <w:unhideWhenUsed/>
    <w:rsid w:val="003436C5"/>
    <w:pPr>
      <w:tabs>
        <w:tab w:val="center" w:pos="4680"/>
        <w:tab w:val="right" w:pos="9360"/>
      </w:tabs>
    </w:pPr>
  </w:style>
  <w:style w:type="character" w:customStyle="1" w:styleId="FooterChar">
    <w:name w:val="Footer Char"/>
    <w:basedOn w:val="DefaultParagraphFont"/>
    <w:link w:val="Footer"/>
    <w:uiPriority w:val="99"/>
    <w:rsid w:val="003436C5"/>
  </w:style>
  <w:style w:type="character" w:customStyle="1" w:styleId="Mention1">
    <w:name w:val="Mention1"/>
    <w:basedOn w:val="DefaultParagraphFont"/>
    <w:uiPriority w:val="99"/>
    <w:semiHidden/>
    <w:unhideWhenUsed/>
    <w:rsid w:val="005B2E05"/>
    <w:rPr>
      <w:color w:val="2B579A"/>
      <w:shd w:val="clear" w:color="auto" w:fill="E6E6E6"/>
    </w:rPr>
  </w:style>
  <w:style w:type="paragraph" w:styleId="Title">
    <w:name w:val="Title"/>
    <w:basedOn w:val="Normal"/>
    <w:next w:val="Normal"/>
    <w:link w:val="TitleChar"/>
    <w:uiPriority w:val="10"/>
    <w:qFormat/>
    <w:rsid w:val="00724B19"/>
    <w:pPr>
      <w:spacing w:before="0" w:after="120"/>
      <w:ind w:firstLine="360"/>
      <w:jc w:val="center"/>
    </w:pPr>
    <w:rPr>
      <w:rFonts w:eastAsiaTheme="minorEastAsia" w:cstheme="minorHAnsi"/>
      <w:b/>
      <w:color w:val="000000" w:themeColor="text1"/>
      <w:kern w:val="2"/>
      <w:sz w:val="28"/>
      <w:szCs w:val="24"/>
    </w:rPr>
  </w:style>
  <w:style w:type="character" w:customStyle="1" w:styleId="TitleChar">
    <w:name w:val="Title Char"/>
    <w:basedOn w:val="DefaultParagraphFont"/>
    <w:link w:val="Title"/>
    <w:uiPriority w:val="10"/>
    <w:rsid w:val="00724B19"/>
    <w:rPr>
      <w:rFonts w:eastAsiaTheme="minorEastAsia" w:cstheme="minorHAnsi"/>
      <w:b/>
      <w:color w:val="000000" w:themeColor="text1"/>
      <w:kern w:val="2"/>
      <w:sz w:val="28"/>
      <w:szCs w:val="24"/>
    </w:rPr>
  </w:style>
  <w:style w:type="paragraph" w:styleId="Subtitle">
    <w:name w:val="Subtitle"/>
    <w:basedOn w:val="Normal"/>
    <w:next w:val="Normal"/>
    <w:link w:val="SubtitleChar"/>
    <w:uiPriority w:val="11"/>
    <w:qFormat/>
    <w:rsid w:val="00724B19"/>
    <w:pPr>
      <w:spacing w:before="0" w:after="240"/>
      <w:ind w:firstLine="360"/>
      <w:jc w:val="center"/>
    </w:pPr>
    <w:rPr>
      <w:rFonts w:eastAsiaTheme="minorEastAsia" w:cstheme="minorHAnsi"/>
      <w:b/>
      <w:color w:val="000000" w:themeColor="text1"/>
      <w:kern w:val="2"/>
      <w:sz w:val="24"/>
      <w:szCs w:val="24"/>
    </w:rPr>
  </w:style>
  <w:style w:type="character" w:customStyle="1" w:styleId="SubtitleChar">
    <w:name w:val="Subtitle Char"/>
    <w:basedOn w:val="DefaultParagraphFont"/>
    <w:link w:val="Subtitle"/>
    <w:uiPriority w:val="11"/>
    <w:rsid w:val="00724B19"/>
    <w:rPr>
      <w:rFonts w:eastAsiaTheme="minorEastAsia" w:cstheme="minorHAnsi"/>
      <w:b/>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280">
      <w:bodyDiv w:val="1"/>
      <w:marLeft w:val="0"/>
      <w:marRight w:val="0"/>
      <w:marTop w:val="0"/>
      <w:marBottom w:val="0"/>
      <w:divBdr>
        <w:top w:val="none" w:sz="0" w:space="0" w:color="auto"/>
        <w:left w:val="none" w:sz="0" w:space="0" w:color="auto"/>
        <w:bottom w:val="none" w:sz="0" w:space="0" w:color="auto"/>
        <w:right w:val="none" w:sz="0" w:space="0" w:color="auto"/>
      </w:divBdr>
    </w:div>
    <w:div w:id="23679137">
      <w:bodyDiv w:val="1"/>
      <w:marLeft w:val="0"/>
      <w:marRight w:val="0"/>
      <w:marTop w:val="0"/>
      <w:marBottom w:val="0"/>
      <w:divBdr>
        <w:top w:val="none" w:sz="0" w:space="0" w:color="auto"/>
        <w:left w:val="none" w:sz="0" w:space="0" w:color="auto"/>
        <w:bottom w:val="none" w:sz="0" w:space="0" w:color="auto"/>
        <w:right w:val="none" w:sz="0" w:space="0" w:color="auto"/>
      </w:divBdr>
    </w:div>
    <w:div w:id="70934659">
      <w:bodyDiv w:val="1"/>
      <w:marLeft w:val="0"/>
      <w:marRight w:val="0"/>
      <w:marTop w:val="0"/>
      <w:marBottom w:val="0"/>
      <w:divBdr>
        <w:top w:val="none" w:sz="0" w:space="0" w:color="auto"/>
        <w:left w:val="none" w:sz="0" w:space="0" w:color="auto"/>
        <w:bottom w:val="none" w:sz="0" w:space="0" w:color="auto"/>
        <w:right w:val="none" w:sz="0" w:space="0" w:color="auto"/>
      </w:divBdr>
    </w:div>
    <w:div w:id="88237364">
      <w:bodyDiv w:val="1"/>
      <w:marLeft w:val="0"/>
      <w:marRight w:val="0"/>
      <w:marTop w:val="0"/>
      <w:marBottom w:val="0"/>
      <w:divBdr>
        <w:top w:val="none" w:sz="0" w:space="0" w:color="auto"/>
        <w:left w:val="none" w:sz="0" w:space="0" w:color="auto"/>
        <w:bottom w:val="none" w:sz="0" w:space="0" w:color="auto"/>
        <w:right w:val="none" w:sz="0" w:space="0" w:color="auto"/>
      </w:divBdr>
    </w:div>
    <w:div w:id="94175253">
      <w:bodyDiv w:val="1"/>
      <w:marLeft w:val="0"/>
      <w:marRight w:val="0"/>
      <w:marTop w:val="0"/>
      <w:marBottom w:val="0"/>
      <w:divBdr>
        <w:top w:val="none" w:sz="0" w:space="0" w:color="auto"/>
        <w:left w:val="none" w:sz="0" w:space="0" w:color="auto"/>
        <w:bottom w:val="none" w:sz="0" w:space="0" w:color="auto"/>
        <w:right w:val="none" w:sz="0" w:space="0" w:color="auto"/>
      </w:divBdr>
    </w:div>
    <w:div w:id="135220813">
      <w:bodyDiv w:val="1"/>
      <w:marLeft w:val="0"/>
      <w:marRight w:val="0"/>
      <w:marTop w:val="0"/>
      <w:marBottom w:val="0"/>
      <w:divBdr>
        <w:top w:val="none" w:sz="0" w:space="0" w:color="auto"/>
        <w:left w:val="none" w:sz="0" w:space="0" w:color="auto"/>
        <w:bottom w:val="none" w:sz="0" w:space="0" w:color="auto"/>
        <w:right w:val="none" w:sz="0" w:space="0" w:color="auto"/>
      </w:divBdr>
    </w:div>
    <w:div w:id="150876474">
      <w:bodyDiv w:val="1"/>
      <w:marLeft w:val="0"/>
      <w:marRight w:val="0"/>
      <w:marTop w:val="0"/>
      <w:marBottom w:val="0"/>
      <w:divBdr>
        <w:top w:val="none" w:sz="0" w:space="0" w:color="auto"/>
        <w:left w:val="none" w:sz="0" w:space="0" w:color="auto"/>
        <w:bottom w:val="none" w:sz="0" w:space="0" w:color="auto"/>
        <w:right w:val="none" w:sz="0" w:space="0" w:color="auto"/>
      </w:divBdr>
    </w:div>
    <w:div w:id="220944702">
      <w:bodyDiv w:val="1"/>
      <w:marLeft w:val="0"/>
      <w:marRight w:val="0"/>
      <w:marTop w:val="0"/>
      <w:marBottom w:val="0"/>
      <w:divBdr>
        <w:top w:val="none" w:sz="0" w:space="0" w:color="auto"/>
        <w:left w:val="none" w:sz="0" w:space="0" w:color="auto"/>
        <w:bottom w:val="none" w:sz="0" w:space="0" w:color="auto"/>
        <w:right w:val="none" w:sz="0" w:space="0" w:color="auto"/>
      </w:divBdr>
    </w:div>
    <w:div w:id="386028810">
      <w:bodyDiv w:val="1"/>
      <w:marLeft w:val="0"/>
      <w:marRight w:val="0"/>
      <w:marTop w:val="0"/>
      <w:marBottom w:val="0"/>
      <w:divBdr>
        <w:top w:val="none" w:sz="0" w:space="0" w:color="auto"/>
        <w:left w:val="none" w:sz="0" w:space="0" w:color="auto"/>
        <w:bottom w:val="none" w:sz="0" w:space="0" w:color="auto"/>
        <w:right w:val="none" w:sz="0" w:space="0" w:color="auto"/>
      </w:divBdr>
    </w:div>
    <w:div w:id="443111444">
      <w:bodyDiv w:val="1"/>
      <w:marLeft w:val="0"/>
      <w:marRight w:val="0"/>
      <w:marTop w:val="0"/>
      <w:marBottom w:val="0"/>
      <w:divBdr>
        <w:top w:val="none" w:sz="0" w:space="0" w:color="auto"/>
        <w:left w:val="none" w:sz="0" w:space="0" w:color="auto"/>
        <w:bottom w:val="none" w:sz="0" w:space="0" w:color="auto"/>
        <w:right w:val="none" w:sz="0" w:space="0" w:color="auto"/>
      </w:divBdr>
    </w:div>
    <w:div w:id="464081985">
      <w:bodyDiv w:val="1"/>
      <w:marLeft w:val="0"/>
      <w:marRight w:val="0"/>
      <w:marTop w:val="0"/>
      <w:marBottom w:val="0"/>
      <w:divBdr>
        <w:top w:val="none" w:sz="0" w:space="0" w:color="auto"/>
        <w:left w:val="none" w:sz="0" w:space="0" w:color="auto"/>
        <w:bottom w:val="none" w:sz="0" w:space="0" w:color="auto"/>
        <w:right w:val="none" w:sz="0" w:space="0" w:color="auto"/>
      </w:divBdr>
    </w:div>
    <w:div w:id="594438015">
      <w:bodyDiv w:val="1"/>
      <w:marLeft w:val="0"/>
      <w:marRight w:val="0"/>
      <w:marTop w:val="0"/>
      <w:marBottom w:val="0"/>
      <w:divBdr>
        <w:top w:val="none" w:sz="0" w:space="0" w:color="auto"/>
        <w:left w:val="none" w:sz="0" w:space="0" w:color="auto"/>
        <w:bottom w:val="none" w:sz="0" w:space="0" w:color="auto"/>
        <w:right w:val="none" w:sz="0" w:space="0" w:color="auto"/>
      </w:divBdr>
    </w:div>
    <w:div w:id="613023793">
      <w:bodyDiv w:val="1"/>
      <w:marLeft w:val="0"/>
      <w:marRight w:val="0"/>
      <w:marTop w:val="0"/>
      <w:marBottom w:val="0"/>
      <w:divBdr>
        <w:top w:val="none" w:sz="0" w:space="0" w:color="auto"/>
        <w:left w:val="none" w:sz="0" w:space="0" w:color="auto"/>
        <w:bottom w:val="none" w:sz="0" w:space="0" w:color="auto"/>
        <w:right w:val="none" w:sz="0" w:space="0" w:color="auto"/>
      </w:divBdr>
    </w:div>
    <w:div w:id="665014497">
      <w:bodyDiv w:val="1"/>
      <w:marLeft w:val="0"/>
      <w:marRight w:val="0"/>
      <w:marTop w:val="0"/>
      <w:marBottom w:val="0"/>
      <w:divBdr>
        <w:top w:val="none" w:sz="0" w:space="0" w:color="auto"/>
        <w:left w:val="none" w:sz="0" w:space="0" w:color="auto"/>
        <w:bottom w:val="none" w:sz="0" w:space="0" w:color="auto"/>
        <w:right w:val="none" w:sz="0" w:space="0" w:color="auto"/>
      </w:divBdr>
    </w:div>
    <w:div w:id="691371731">
      <w:bodyDiv w:val="1"/>
      <w:marLeft w:val="0"/>
      <w:marRight w:val="0"/>
      <w:marTop w:val="0"/>
      <w:marBottom w:val="0"/>
      <w:divBdr>
        <w:top w:val="none" w:sz="0" w:space="0" w:color="auto"/>
        <w:left w:val="none" w:sz="0" w:space="0" w:color="auto"/>
        <w:bottom w:val="none" w:sz="0" w:space="0" w:color="auto"/>
        <w:right w:val="none" w:sz="0" w:space="0" w:color="auto"/>
      </w:divBdr>
    </w:div>
    <w:div w:id="696390107">
      <w:bodyDiv w:val="1"/>
      <w:marLeft w:val="0"/>
      <w:marRight w:val="0"/>
      <w:marTop w:val="0"/>
      <w:marBottom w:val="0"/>
      <w:divBdr>
        <w:top w:val="none" w:sz="0" w:space="0" w:color="auto"/>
        <w:left w:val="none" w:sz="0" w:space="0" w:color="auto"/>
        <w:bottom w:val="none" w:sz="0" w:space="0" w:color="auto"/>
        <w:right w:val="none" w:sz="0" w:space="0" w:color="auto"/>
      </w:divBdr>
    </w:div>
    <w:div w:id="749816551">
      <w:bodyDiv w:val="1"/>
      <w:marLeft w:val="0"/>
      <w:marRight w:val="0"/>
      <w:marTop w:val="0"/>
      <w:marBottom w:val="0"/>
      <w:divBdr>
        <w:top w:val="none" w:sz="0" w:space="0" w:color="auto"/>
        <w:left w:val="none" w:sz="0" w:space="0" w:color="auto"/>
        <w:bottom w:val="none" w:sz="0" w:space="0" w:color="auto"/>
        <w:right w:val="none" w:sz="0" w:space="0" w:color="auto"/>
      </w:divBdr>
    </w:div>
    <w:div w:id="751125799">
      <w:bodyDiv w:val="1"/>
      <w:marLeft w:val="0"/>
      <w:marRight w:val="0"/>
      <w:marTop w:val="0"/>
      <w:marBottom w:val="0"/>
      <w:divBdr>
        <w:top w:val="none" w:sz="0" w:space="0" w:color="auto"/>
        <w:left w:val="none" w:sz="0" w:space="0" w:color="auto"/>
        <w:bottom w:val="none" w:sz="0" w:space="0" w:color="auto"/>
        <w:right w:val="none" w:sz="0" w:space="0" w:color="auto"/>
      </w:divBdr>
    </w:div>
    <w:div w:id="780416707">
      <w:bodyDiv w:val="1"/>
      <w:marLeft w:val="0"/>
      <w:marRight w:val="0"/>
      <w:marTop w:val="0"/>
      <w:marBottom w:val="0"/>
      <w:divBdr>
        <w:top w:val="none" w:sz="0" w:space="0" w:color="auto"/>
        <w:left w:val="none" w:sz="0" w:space="0" w:color="auto"/>
        <w:bottom w:val="none" w:sz="0" w:space="0" w:color="auto"/>
        <w:right w:val="none" w:sz="0" w:space="0" w:color="auto"/>
      </w:divBdr>
    </w:div>
    <w:div w:id="835147969">
      <w:bodyDiv w:val="1"/>
      <w:marLeft w:val="0"/>
      <w:marRight w:val="0"/>
      <w:marTop w:val="0"/>
      <w:marBottom w:val="0"/>
      <w:divBdr>
        <w:top w:val="none" w:sz="0" w:space="0" w:color="auto"/>
        <w:left w:val="none" w:sz="0" w:space="0" w:color="auto"/>
        <w:bottom w:val="none" w:sz="0" w:space="0" w:color="auto"/>
        <w:right w:val="none" w:sz="0" w:space="0" w:color="auto"/>
      </w:divBdr>
    </w:div>
    <w:div w:id="893934718">
      <w:bodyDiv w:val="1"/>
      <w:marLeft w:val="0"/>
      <w:marRight w:val="0"/>
      <w:marTop w:val="0"/>
      <w:marBottom w:val="0"/>
      <w:divBdr>
        <w:top w:val="none" w:sz="0" w:space="0" w:color="auto"/>
        <w:left w:val="none" w:sz="0" w:space="0" w:color="auto"/>
        <w:bottom w:val="none" w:sz="0" w:space="0" w:color="auto"/>
        <w:right w:val="none" w:sz="0" w:space="0" w:color="auto"/>
      </w:divBdr>
    </w:div>
    <w:div w:id="896741555">
      <w:bodyDiv w:val="1"/>
      <w:marLeft w:val="0"/>
      <w:marRight w:val="0"/>
      <w:marTop w:val="0"/>
      <w:marBottom w:val="0"/>
      <w:divBdr>
        <w:top w:val="none" w:sz="0" w:space="0" w:color="auto"/>
        <w:left w:val="none" w:sz="0" w:space="0" w:color="auto"/>
        <w:bottom w:val="none" w:sz="0" w:space="0" w:color="auto"/>
        <w:right w:val="none" w:sz="0" w:space="0" w:color="auto"/>
      </w:divBdr>
    </w:div>
    <w:div w:id="905065550">
      <w:bodyDiv w:val="1"/>
      <w:marLeft w:val="0"/>
      <w:marRight w:val="0"/>
      <w:marTop w:val="0"/>
      <w:marBottom w:val="0"/>
      <w:divBdr>
        <w:top w:val="none" w:sz="0" w:space="0" w:color="auto"/>
        <w:left w:val="none" w:sz="0" w:space="0" w:color="auto"/>
        <w:bottom w:val="none" w:sz="0" w:space="0" w:color="auto"/>
        <w:right w:val="none" w:sz="0" w:space="0" w:color="auto"/>
      </w:divBdr>
    </w:div>
    <w:div w:id="924801457">
      <w:bodyDiv w:val="1"/>
      <w:marLeft w:val="0"/>
      <w:marRight w:val="0"/>
      <w:marTop w:val="0"/>
      <w:marBottom w:val="0"/>
      <w:divBdr>
        <w:top w:val="none" w:sz="0" w:space="0" w:color="auto"/>
        <w:left w:val="none" w:sz="0" w:space="0" w:color="auto"/>
        <w:bottom w:val="none" w:sz="0" w:space="0" w:color="auto"/>
        <w:right w:val="none" w:sz="0" w:space="0" w:color="auto"/>
      </w:divBdr>
    </w:div>
    <w:div w:id="960840138">
      <w:bodyDiv w:val="1"/>
      <w:marLeft w:val="0"/>
      <w:marRight w:val="0"/>
      <w:marTop w:val="0"/>
      <w:marBottom w:val="0"/>
      <w:divBdr>
        <w:top w:val="none" w:sz="0" w:space="0" w:color="auto"/>
        <w:left w:val="none" w:sz="0" w:space="0" w:color="auto"/>
        <w:bottom w:val="none" w:sz="0" w:space="0" w:color="auto"/>
        <w:right w:val="none" w:sz="0" w:space="0" w:color="auto"/>
      </w:divBdr>
    </w:div>
    <w:div w:id="1056124731">
      <w:bodyDiv w:val="1"/>
      <w:marLeft w:val="0"/>
      <w:marRight w:val="0"/>
      <w:marTop w:val="0"/>
      <w:marBottom w:val="0"/>
      <w:divBdr>
        <w:top w:val="none" w:sz="0" w:space="0" w:color="auto"/>
        <w:left w:val="none" w:sz="0" w:space="0" w:color="auto"/>
        <w:bottom w:val="none" w:sz="0" w:space="0" w:color="auto"/>
        <w:right w:val="none" w:sz="0" w:space="0" w:color="auto"/>
      </w:divBdr>
    </w:div>
    <w:div w:id="1099178751">
      <w:bodyDiv w:val="1"/>
      <w:marLeft w:val="0"/>
      <w:marRight w:val="0"/>
      <w:marTop w:val="0"/>
      <w:marBottom w:val="0"/>
      <w:divBdr>
        <w:top w:val="none" w:sz="0" w:space="0" w:color="auto"/>
        <w:left w:val="none" w:sz="0" w:space="0" w:color="auto"/>
        <w:bottom w:val="none" w:sz="0" w:space="0" w:color="auto"/>
        <w:right w:val="none" w:sz="0" w:space="0" w:color="auto"/>
      </w:divBdr>
    </w:div>
    <w:div w:id="1104105723">
      <w:bodyDiv w:val="1"/>
      <w:marLeft w:val="0"/>
      <w:marRight w:val="0"/>
      <w:marTop w:val="0"/>
      <w:marBottom w:val="0"/>
      <w:divBdr>
        <w:top w:val="none" w:sz="0" w:space="0" w:color="auto"/>
        <w:left w:val="none" w:sz="0" w:space="0" w:color="auto"/>
        <w:bottom w:val="none" w:sz="0" w:space="0" w:color="auto"/>
        <w:right w:val="none" w:sz="0" w:space="0" w:color="auto"/>
      </w:divBdr>
    </w:div>
    <w:div w:id="1107507727">
      <w:bodyDiv w:val="1"/>
      <w:marLeft w:val="0"/>
      <w:marRight w:val="0"/>
      <w:marTop w:val="0"/>
      <w:marBottom w:val="0"/>
      <w:divBdr>
        <w:top w:val="none" w:sz="0" w:space="0" w:color="auto"/>
        <w:left w:val="none" w:sz="0" w:space="0" w:color="auto"/>
        <w:bottom w:val="none" w:sz="0" w:space="0" w:color="auto"/>
        <w:right w:val="none" w:sz="0" w:space="0" w:color="auto"/>
      </w:divBdr>
    </w:div>
    <w:div w:id="1112163387">
      <w:bodyDiv w:val="1"/>
      <w:marLeft w:val="0"/>
      <w:marRight w:val="0"/>
      <w:marTop w:val="0"/>
      <w:marBottom w:val="0"/>
      <w:divBdr>
        <w:top w:val="none" w:sz="0" w:space="0" w:color="auto"/>
        <w:left w:val="none" w:sz="0" w:space="0" w:color="auto"/>
        <w:bottom w:val="none" w:sz="0" w:space="0" w:color="auto"/>
        <w:right w:val="none" w:sz="0" w:space="0" w:color="auto"/>
      </w:divBdr>
    </w:div>
    <w:div w:id="1114666554">
      <w:bodyDiv w:val="1"/>
      <w:marLeft w:val="0"/>
      <w:marRight w:val="0"/>
      <w:marTop w:val="0"/>
      <w:marBottom w:val="0"/>
      <w:divBdr>
        <w:top w:val="none" w:sz="0" w:space="0" w:color="auto"/>
        <w:left w:val="none" w:sz="0" w:space="0" w:color="auto"/>
        <w:bottom w:val="none" w:sz="0" w:space="0" w:color="auto"/>
        <w:right w:val="none" w:sz="0" w:space="0" w:color="auto"/>
      </w:divBdr>
    </w:div>
    <w:div w:id="1206675993">
      <w:bodyDiv w:val="1"/>
      <w:marLeft w:val="0"/>
      <w:marRight w:val="0"/>
      <w:marTop w:val="0"/>
      <w:marBottom w:val="0"/>
      <w:divBdr>
        <w:top w:val="none" w:sz="0" w:space="0" w:color="auto"/>
        <w:left w:val="none" w:sz="0" w:space="0" w:color="auto"/>
        <w:bottom w:val="none" w:sz="0" w:space="0" w:color="auto"/>
        <w:right w:val="none" w:sz="0" w:space="0" w:color="auto"/>
      </w:divBdr>
    </w:div>
    <w:div w:id="1216745545">
      <w:bodyDiv w:val="1"/>
      <w:marLeft w:val="0"/>
      <w:marRight w:val="0"/>
      <w:marTop w:val="0"/>
      <w:marBottom w:val="0"/>
      <w:divBdr>
        <w:top w:val="none" w:sz="0" w:space="0" w:color="auto"/>
        <w:left w:val="none" w:sz="0" w:space="0" w:color="auto"/>
        <w:bottom w:val="none" w:sz="0" w:space="0" w:color="auto"/>
        <w:right w:val="none" w:sz="0" w:space="0" w:color="auto"/>
      </w:divBdr>
    </w:div>
    <w:div w:id="1319769837">
      <w:bodyDiv w:val="1"/>
      <w:marLeft w:val="0"/>
      <w:marRight w:val="0"/>
      <w:marTop w:val="0"/>
      <w:marBottom w:val="0"/>
      <w:divBdr>
        <w:top w:val="none" w:sz="0" w:space="0" w:color="auto"/>
        <w:left w:val="none" w:sz="0" w:space="0" w:color="auto"/>
        <w:bottom w:val="none" w:sz="0" w:space="0" w:color="auto"/>
        <w:right w:val="none" w:sz="0" w:space="0" w:color="auto"/>
      </w:divBdr>
    </w:div>
    <w:div w:id="1393501028">
      <w:bodyDiv w:val="1"/>
      <w:marLeft w:val="0"/>
      <w:marRight w:val="0"/>
      <w:marTop w:val="0"/>
      <w:marBottom w:val="0"/>
      <w:divBdr>
        <w:top w:val="none" w:sz="0" w:space="0" w:color="auto"/>
        <w:left w:val="none" w:sz="0" w:space="0" w:color="auto"/>
        <w:bottom w:val="none" w:sz="0" w:space="0" w:color="auto"/>
        <w:right w:val="none" w:sz="0" w:space="0" w:color="auto"/>
      </w:divBdr>
    </w:div>
    <w:div w:id="1426996435">
      <w:bodyDiv w:val="1"/>
      <w:marLeft w:val="0"/>
      <w:marRight w:val="0"/>
      <w:marTop w:val="0"/>
      <w:marBottom w:val="0"/>
      <w:divBdr>
        <w:top w:val="none" w:sz="0" w:space="0" w:color="auto"/>
        <w:left w:val="none" w:sz="0" w:space="0" w:color="auto"/>
        <w:bottom w:val="none" w:sz="0" w:space="0" w:color="auto"/>
        <w:right w:val="none" w:sz="0" w:space="0" w:color="auto"/>
      </w:divBdr>
    </w:div>
    <w:div w:id="1516731718">
      <w:bodyDiv w:val="1"/>
      <w:marLeft w:val="0"/>
      <w:marRight w:val="0"/>
      <w:marTop w:val="0"/>
      <w:marBottom w:val="0"/>
      <w:divBdr>
        <w:top w:val="none" w:sz="0" w:space="0" w:color="auto"/>
        <w:left w:val="none" w:sz="0" w:space="0" w:color="auto"/>
        <w:bottom w:val="none" w:sz="0" w:space="0" w:color="auto"/>
        <w:right w:val="none" w:sz="0" w:space="0" w:color="auto"/>
      </w:divBdr>
    </w:div>
    <w:div w:id="1684819074">
      <w:bodyDiv w:val="1"/>
      <w:marLeft w:val="0"/>
      <w:marRight w:val="0"/>
      <w:marTop w:val="0"/>
      <w:marBottom w:val="0"/>
      <w:divBdr>
        <w:top w:val="none" w:sz="0" w:space="0" w:color="auto"/>
        <w:left w:val="none" w:sz="0" w:space="0" w:color="auto"/>
        <w:bottom w:val="none" w:sz="0" w:space="0" w:color="auto"/>
        <w:right w:val="none" w:sz="0" w:space="0" w:color="auto"/>
      </w:divBdr>
    </w:div>
    <w:div w:id="1724939761">
      <w:bodyDiv w:val="1"/>
      <w:marLeft w:val="0"/>
      <w:marRight w:val="0"/>
      <w:marTop w:val="0"/>
      <w:marBottom w:val="0"/>
      <w:divBdr>
        <w:top w:val="none" w:sz="0" w:space="0" w:color="auto"/>
        <w:left w:val="none" w:sz="0" w:space="0" w:color="auto"/>
        <w:bottom w:val="none" w:sz="0" w:space="0" w:color="auto"/>
        <w:right w:val="none" w:sz="0" w:space="0" w:color="auto"/>
      </w:divBdr>
    </w:div>
    <w:div w:id="1728651187">
      <w:bodyDiv w:val="1"/>
      <w:marLeft w:val="0"/>
      <w:marRight w:val="0"/>
      <w:marTop w:val="0"/>
      <w:marBottom w:val="0"/>
      <w:divBdr>
        <w:top w:val="none" w:sz="0" w:space="0" w:color="auto"/>
        <w:left w:val="none" w:sz="0" w:space="0" w:color="auto"/>
        <w:bottom w:val="none" w:sz="0" w:space="0" w:color="auto"/>
        <w:right w:val="none" w:sz="0" w:space="0" w:color="auto"/>
      </w:divBdr>
    </w:div>
    <w:div w:id="1737319267">
      <w:bodyDiv w:val="1"/>
      <w:marLeft w:val="0"/>
      <w:marRight w:val="0"/>
      <w:marTop w:val="0"/>
      <w:marBottom w:val="0"/>
      <w:divBdr>
        <w:top w:val="none" w:sz="0" w:space="0" w:color="auto"/>
        <w:left w:val="none" w:sz="0" w:space="0" w:color="auto"/>
        <w:bottom w:val="none" w:sz="0" w:space="0" w:color="auto"/>
        <w:right w:val="none" w:sz="0" w:space="0" w:color="auto"/>
      </w:divBdr>
    </w:div>
    <w:div w:id="1743478383">
      <w:bodyDiv w:val="1"/>
      <w:marLeft w:val="0"/>
      <w:marRight w:val="0"/>
      <w:marTop w:val="0"/>
      <w:marBottom w:val="0"/>
      <w:divBdr>
        <w:top w:val="none" w:sz="0" w:space="0" w:color="auto"/>
        <w:left w:val="none" w:sz="0" w:space="0" w:color="auto"/>
        <w:bottom w:val="none" w:sz="0" w:space="0" w:color="auto"/>
        <w:right w:val="none" w:sz="0" w:space="0" w:color="auto"/>
      </w:divBdr>
    </w:div>
    <w:div w:id="1781142090">
      <w:bodyDiv w:val="1"/>
      <w:marLeft w:val="0"/>
      <w:marRight w:val="0"/>
      <w:marTop w:val="0"/>
      <w:marBottom w:val="0"/>
      <w:divBdr>
        <w:top w:val="none" w:sz="0" w:space="0" w:color="auto"/>
        <w:left w:val="none" w:sz="0" w:space="0" w:color="auto"/>
        <w:bottom w:val="none" w:sz="0" w:space="0" w:color="auto"/>
        <w:right w:val="none" w:sz="0" w:space="0" w:color="auto"/>
      </w:divBdr>
      <w:divsChild>
        <w:div w:id="38550985">
          <w:marLeft w:val="0"/>
          <w:marRight w:val="0"/>
          <w:marTop w:val="0"/>
          <w:marBottom w:val="0"/>
          <w:divBdr>
            <w:top w:val="none" w:sz="0" w:space="0" w:color="auto"/>
            <w:left w:val="none" w:sz="0" w:space="0" w:color="auto"/>
            <w:bottom w:val="none" w:sz="0" w:space="0" w:color="auto"/>
            <w:right w:val="none" w:sz="0" w:space="0" w:color="auto"/>
          </w:divBdr>
        </w:div>
        <w:div w:id="203714613">
          <w:marLeft w:val="0"/>
          <w:marRight w:val="0"/>
          <w:marTop w:val="0"/>
          <w:marBottom w:val="0"/>
          <w:divBdr>
            <w:top w:val="none" w:sz="0" w:space="0" w:color="auto"/>
            <w:left w:val="none" w:sz="0" w:space="0" w:color="auto"/>
            <w:bottom w:val="none" w:sz="0" w:space="0" w:color="auto"/>
            <w:right w:val="none" w:sz="0" w:space="0" w:color="auto"/>
          </w:divBdr>
        </w:div>
        <w:div w:id="441343663">
          <w:marLeft w:val="0"/>
          <w:marRight w:val="0"/>
          <w:marTop w:val="0"/>
          <w:marBottom w:val="0"/>
          <w:divBdr>
            <w:top w:val="none" w:sz="0" w:space="0" w:color="auto"/>
            <w:left w:val="none" w:sz="0" w:space="0" w:color="auto"/>
            <w:bottom w:val="none" w:sz="0" w:space="0" w:color="auto"/>
            <w:right w:val="none" w:sz="0" w:space="0" w:color="auto"/>
          </w:divBdr>
          <w:divsChild>
            <w:div w:id="159128602">
              <w:marLeft w:val="0"/>
              <w:marRight w:val="0"/>
              <w:marTop w:val="0"/>
              <w:marBottom w:val="75"/>
              <w:divBdr>
                <w:top w:val="none" w:sz="0" w:space="0" w:color="auto"/>
                <w:left w:val="none" w:sz="0" w:space="0" w:color="auto"/>
                <w:bottom w:val="none" w:sz="0" w:space="0" w:color="auto"/>
                <w:right w:val="none" w:sz="0" w:space="0" w:color="auto"/>
              </w:divBdr>
            </w:div>
          </w:divsChild>
        </w:div>
        <w:div w:id="472794990">
          <w:marLeft w:val="0"/>
          <w:marRight w:val="0"/>
          <w:marTop w:val="0"/>
          <w:marBottom w:val="0"/>
          <w:divBdr>
            <w:top w:val="none" w:sz="0" w:space="0" w:color="auto"/>
            <w:left w:val="none" w:sz="0" w:space="0" w:color="auto"/>
            <w:bottom w:val="none" w:sz="0" w:space="0" w:color="auto"/>
            <w:right w:val="none" w:sz="0" w:space="0" w:color="auto"/>
          </w:divBdr>
          <w:divsChild>
            <w:div w:id="1284262364">
              <w:marLeft w:val="0"/>
              <w:marRight w:val="0"/>
              <w:marTop w:val="0"/>
              <w:marBottom w:val="75"/>
              <w:divBdr>
                <w:top w:val="none" w:sz="0" w:space="0" w:color="auto"/>
                <w:left w:val="none" w:sz="0" w:space="0" w:color="auto"/>
                <w:bottom w:val="none" w:sz="0" w:space="0" w:color="auto"/>
                <w:right w:val="none" w:sz="0" w:space="0" w:color="auto"/>
              </w:divBdr>
            </w:div>
          </w:divsChild>
        </w:div>
        <w:div w:id="589198675">
          <w:marLeft w:val="0"/>
          <w:marRight w:val="0"/>
          <w:marTop w:val="0"/>
          <w:marBottom w:val="0"/>
          <w:divBdr>
            <w:top w:val="none" w:sz="0" w:space="0" w:color="auto"/>
            <w:left w:val="none" w:sz="0" w:space="0" w:color="auto"/>
            <w:bottom w:val="none" w:sz="0" w:space="0" w:color="auto"/>
            <w:right w:val="none" w:sz="0" w:space="0" w:color="auto"/>
          </w:divBdr>
        </w:div>
        <w:div w:id="813721006">
          <w:marLeft w:val="0"/>
          <w:marRight w:val="0"/>
          <w:marTop w:val="0"/>
          <w:marBottom w:val="0"/>
          <w:divBdr>
            <w:top w:val="none" w:sz="0" w:space="0" w:color="auto"/>
            <w:left w:val="none" w:sz="0" w:space="0" w:color="auto"/>
            <w:bottom w:val="none" w:sz="0" w:space="0" w:color="auto"/>
            <w:right w:val="none" w:sz="0" w:space="0" w:color="auto"/>
          </w:divBdr>
          <w:divsChild>
            <w:div w:id="1408767155">
              <w:marLeft w:val="0"/>
              <w:marRight w:val="0"/>
              <w:marTop w:val="0"/>
              <w:marBottom w:val="75"/>
              <w:divBdr>
                <w:top w:val="none" w:sz="0" w:space="0" w:color="auto"/>
                <w:left w:val="none" w:sz="0" w:space="0" w:color="auto"/>
                <w:bottom w:val="none" w:sz="0" w:space="0" w:color="auto"/>
                <w:right w:val="none" w:sz="0" w:space="0" w:color="auto"/>
              </w:divBdr>
            </w:div>
          </w:divsChild>
        </w:div>
        <w:div w:id="1017345485">
          <w:marLeft w:val="0"/>
          <w:marRight w:val="0"/>
          <w:marTop w:val="0"/>
          <w:marBottom w:val="0"/>
          <w:divBdr>
            <w:top w:val="none" w:sz="0" w:space="0" w:color="auto"/>
            <w:left w:val="none" w:sz="0" w:space="0" w:color="auto"/>
            <w:bottom w:val="none" w:sz="0" w:space="0" w:color="auto"/>
            <w:right w:val="none" w:sz="0" w:space="0" w:color="auto"/>
          </w:divBdr>
          <w:divsChild>
            <w:div w:id="1921060890">
              <w:marLeft w:val="0"/>
              <w:marRight w:val="0"/>
              <w:marTop w:val="0"/>
              <w:marBottom w:val="75"/>
              <w:divBdr>
                <w:top w:val="none" w:sz="0" w:space="0" w:color="auto"/>
                <w:left w:val="none" w:sz="0" w:space="0" w:color="auto"/>
                <w:bottom w:val="none" w:sz="0" w:space="0" w:color="auto"/>
                <w:right w:val="none" w:sz="0" w:space="0" w:color="auto"/>
              </w:divBdr>
            </w:div>
          </w:divsChild>
        </w:div>
        <w:div w:id="1625697936">
          <w:marLeft w:val="0"/>
          <w:marRight w:val="0"/>
          <w:marTop w:val="0"/>
          <w:marBottom w:val="0"/>
          <w:divBdr>
            <w:top w:val="none" w:sz="0" w:space="0" w:color="auto"/>
            <w:left w:val="none" w:sz="0" w:space="0" w:color="auto"/>
            <w:bottom w:val="none" w:sz="0" w:space="0" w:color="auto"/>
            <w:right w:val="none" w:sz="0" w:space="0" w:color="auto"/>
          </w:divBdr>
        </w:div>
        <w:div w:id="1661227782">
          <w:marLeft w:val="0"/>
          <w:marRight w:val="0"/>
          <w:marTop w:val="0"/>
          <w:marBottom w:val="0"/>
          <w:divBdr>
            <w:top w:val="none" w:sz="0" w:space="0" w:color="auto"/>
            <w:left w:val="none" w:sz="0" w:space="0" w:color="auto"/>
            <w:bottom w:val="none" w:sz="0" w:space="0" w:color="auto"/>
            <w:right w:val="none" w:sz="0" w:space="0" w:color="auto"/>
          </w:divBdr>
          <w:divsChild>
            <w:div w:id="892697398">
              <w:marLeft w:val="0"/>
              <w:marRight w:val="0"/>
              <w:marTop w:val="0"/>
              <w:marBottom w:val="75"/>
              <w:divBdr>
                <w:top w:val="none" w:sz="0" w:space="0" w:color="auto"/>
                <w:left w:val="none" w:sz="0" w:space="0" w:color="auto"/>
                <w:bottom w:val="none" w:sz="0" w:space="0" w:color="auto"/>
                <w:right w:val="none" w:sz="0" w:space="0" w:color="auto"/>
              </w:divBdr>
            </w:div>
          </w:divsChild>
        </w:div>
        <w:div w:id="1794204073">
          <w:marLeft w:val="0"/>
          <w:marRight w:val="0"/>
          <w:marTop w:val="0"/>
          <w:marBottom w:val="0"/>
          <w:divBdr>
            <w:top w:val="none" w:sz="0" w:space="0" w:color="auto"/>
            <w:left w:val="none" w:sz="0" w:space="0" w:color="auto"/>
            <w:bottom w:val="none" w:sz="0" w:space="0" w:color="auto"/>
            <w:right w:val="none" w:sz="0" w:space="0" w:color="auto"/>
          </w:divBdr>
        </w:div>
        <w:div w:id="1907639424">
          <w:marLeft w:val="0"/>
          <w:marRight w:val="0"/>
          <w:marTop w:val="0"/>
          <w:marBottom w:val="0"/>
          <w:divBdr>
            <w:top w:val="none" w:sz="0" w:space="0" w:color="auto"/>
            <w:left w:val="none" w:sz="0" w:space="0" w:color="auto"/>
            <w:bottom w:val="none" w:sz="0" w:space="0" w:color="auto"/>
            <w:right w:val="none" w:sz="0" w:space="0" w:color="auto"/>
          </w:divBdr>
          <w:divsChild>
            <w:div w:id="1748185131">
              <w:marLeft w:val="0"/>
              <w:marRight w:val="0"/>
              <w:marTop w:val="0"/>
              <w:marBottom w:val="75"/>
              <w:divBdr>
                <w:top w:val="none" w:sz="0" w:space="0" w:color="auto"/>
                <w:left w:val="none" w:sz="0" w:space="0" w:color="auto"/>
                <w:bottom w:val="none" w:sz="0" w:space="0" w:color="auto"/>
                <w:right w:val="none" w:sz="0" w:space="0" w:color="auto"/>
              </w:divBdr>
            </w:div>
          </w:divsChild>
        </w:div>
        <w:div w:id="2038189797">
          <w:marLeft w:val="0"/>
          <w:marRight w:val="0"/>
          <w:marTop w:val="0"/>
          <w:marBottom w:val="0"/>
          <w:divBdr>
            <w:top w:val="none" w:sz="0" w:space="0" w:color="auto"/>
            <w:left w:val="none" w:sz="0" w:space="0" w:color="auto"/>
            <w:bottom w:val="none" w:sz="0" w:space="0" w:color="auto"/>
            <w:right w:val="none" w:sz="0" w:space="0" w:color="auto"/>
          </w:divBdr>
        </w:div>
      </w:divsChild>
    </w:div>
    <w:div w:id="1862669498">
      <w:bodyDiv w:val="1"/>
      <w:marLeft w:val="0"/>
      <w:marRight w:val="0"/>
      <w:marTop w:val="0"/>
      <w:marBottom w:val="0"/>
      <w:divBdr>
        <w:top w:val="none" w:sz="0" w:space="0" w:color="auto"/>
        <w:left w:val="none" w:sz="0" w:space="0" w:color="auto"/>
        <w:bottom w:val="none" w:sz="0" w:space="0" w:color="auto"/>
        <w:right w:val="none" w:sz="0" w:space="0" w:color="auto"/>
      </w:divBdr>
    </w:div>
    <w:div w:id="1913587535">
      <w:bodyDiv w:val="1"/>
      <w:marLeft w:val="0"/>
      <w:marRight w:val="0"/>
      <w:marTop w:val="0"/>
      <w:marBottom w:val="0"/>
      <w:divBdr>
        <w:top w:val="none" w:sz="0" w:space="0" w:color="auto"/>
        <w:left w:val="none" w:sz="0" w:space="0" w:color="auto"/>
        <w:bottom w:val="none" w:sz="0" w:space="0" w:color="auto"/>
        <w:right w:val="none" w:sz="0" w:space="0" w:color="auto"/>
      </w:divBdr>
    </w:div>
    <w:div w:id="1925336589">
      <w:bodyDiv w:val="1"/>
      <w:marLeft w:val="0"/>
      <w:marRight w:val="0"/>
      <w:marTop w:val="0"/>
      <w:marBottom w:val="0"/>
      <w:divBdr>
        <w:top w:val="none" w:sz="0" w:space="0" w:color="auto"/>
        <w:left w:val="none" w:sz="0" w:space="0" w:color="auto"/>
        <w:bottom w:val="none" w:sz="0" w:space="0" w:color="auto"/>
        <w:right w:val="none" w:sz="0" w:space="0" w:color="auto"/>
      </w:divBdr>
    </w:div>
    <w:div w:id="1925718324">
      <w:bodyDiv w:val="1"/>
      <w:marLeft w:val="0"/>
      <w:marRight w:val="0"/>
      <w:marTop w:val="0"/>
      <w:marBottom w:val="0"/>
      <w:divBdr>
        <w:top w:val="none" w:sz="0" w:space="0" w:color="auto"/>
        <w:left w:val="none" w:sz="0" w:space="0" w:color="auto"/>
        <w:bottom w:val="none" w:sz="0" w:space="0" w:color="auto"/>
        <w:right w:val="none" w:sz="0" w:space="0" w:color="auto"/>
      </w:divBdr>
    </w:div>
    <w:div w:id="21216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2.ed.gov/admins/lead/account/consolidated/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DNVT47QTA7NQ-161-267298</_dlc_DocId>
    <_dlc_DocIdUrl xmlns="b7635ab0-52e7-4e33-aa76-893cd120ef45">
      <Url>https://sharepoint.aemcorp.com/ed/etss/_layouts/15/DocIdRedir.aspx?ID=DNVT47QTA7NQ-161-267298</Url>
      <Description>DNVT47QTA7NQ-161-267298</Description>
    </_dlc_DocIdUrl>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7552-DAC7-4E91-BC7A-596405045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ECBE0-7A78-473C-8DEB-C785FA97C07A}">
  <ds:schemaRefs>
    <ds:schemaRef ds:uri="http://schemas.microsoft.com/sharepoint/events"/>
  </ds:schemaRefs>
</ds:datastoreItem>
</file>

<file path=customXml/itemProps3.xml><?xml version="1.0" encoding="utf-8"?>
<ds:datastoreItem xmlns:ds="http://schemas.openxmlformats.org/officeDocument/2006/customXml" ds:itemID="{91384E1F-EF6E-42F1-AAC9-B4A1CCEE36EA}">
  <ds:schemaRefs>
    <ds:schemaRef ds:uri="http://schemas.microsoft.com/sharepoint/v3/contenttype/forms"/>
  </ds:schemaRefs>
</ds:datastoreItem>
</file>

<file path=customXml/itemProps4.xml><?xml version="1.0" encoding="utf-8"?>
<ds:datastoreItem xmlns:ds="http://schemas.openxmlformats.org/officeDocument/2006/customXml" ds:itemID="{2F598C33-E7D6-47EB-BFA6-48B6CE027FE0}">
  <ds:schemaRefs>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http://schemas.openxmlformats.org/package/2006/metadata/core-properties"/>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01E78967-A83A-48FA-BC70-49EBC751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Assessment Data Notes. 2015-16 Reporting Year. (MS Word)</dc:title>
  <dc:subject>DEA Section 618 Data Products</dc:subject>
  <dc:creator>U.S. Department of Education, OSERS</dc:creator>
  <cp:keywords/>
  <dc:description>Part B Assessment Data Notes. 2015-16 Reporting Year. (MS Word)</dc:description>
  <cp:lastModifiedBy>Geoffrey Rhodes</cp:lastModifiedBy>
  <cp:revision>15</cp:revision>
  <dcterms:created xsi:type="dcterms:W3CDTF">2017-04-27T19:57:00Z</dcterms:created>
  <dcterms:modified xsi:type="dcterms:W3CDTF">2017-12-19T18:28:00Z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88638697-5812-42d4-86a6-430b494aff36</vt:lpwstr>
  </property>
</Properties>
</file>