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31D40" w14:textId="77777777" w:rsidR="00A910DA" w:rsidRPr="002B3C0C" w:rsidRDefault="00A910DA" w:rsidP="00A910DA">
      <w:pPr>
        <w:autoSpaceDE w:val="0"/>
        <w:autoSpaceDN w:val="0"/>
        <w:adjustRightInd w:val="0"/>
        <w:spacing w:after="0" w:line="240" w:lineRule="auto"/>
        <w:jc w:val="center"/>
        <w:rPr>
          <w:rFonts w:ascii="Arial" w:hAnsi="Arial"/>
          <w:color w:val="000000"/>
        </w:rPr>
      </w:pPr>
      <w:bookmarkStart w:id="0" w:name="_GoBack"/>
      <w:bookmarkEnd w:id="0"/>
      <w:r w:rsidRPr="002B3C0C">
        <w:rPr>
          <w:rFonts w:ascii="Arial" w:hAnsi="Arial"/>
          <w:b/>
          <w:color w:val="000000"/>
          <w:sz w:val="22"/>
        </w:rPr>
        <w:t>Federal Student Aid</w:t>
      </w:r>
    </w:p>
    <w:p w14:paraId="0285F154" w14:textId="7A6386E6" w:rsidR="00A910DA" w:rsidRPr="002B3C0C" w:rsidRDefault="00A910DA" w:rsidP="00A910DA">
      <w:pPr>
        <w:autoSpaceDE w:val="0"/>
        <w:autoSpaceDN w:val="0"/>
        <w:adjustRightInd w:val="0"/>
        <w:spacing w:after="0" w:line="240" w:lineRule="auto"/>
        <w:jc w:val="center"/>
        <w:rPr>
          <w:rFonts w:ascii="Arial" w:hAnsi="Arial"/>
          <w:color w:val="000000"/>
        </w:rPr>
      </w:pPr>
      <w:r w:rsidRPr="002B3C0C">
        <w:rPr>
          <w:rFonts w:ascii="Arial" w:hAnsi="Arial"/>
          <w:b/>
          <w:color w:val="000000"/>
          <w:sz w:val="22"/>
        </w:rPr>
        <w:t xml:space="preserve">FY </w:t>
      </w:r>
      <w:r>
        <w:rPr>
          <w:rFonts w:ascii="Arial" w:hAnsi="Arial" w:cs="Arial"/>
          <w:b/>
          <w:bCs/>
          <w:color w:val="000000"/>
          <w:sz w:val="22"/>
        </w:rPr>
        <w:t>201</w:t>
      </w:r>
      <w:r w:rsidR="00244155">
        <w:rPr>
          <w:rFonts w:ascii="Arial" w:hAnsi="Arial" w:cs="Arial"/>
          <w:b/>
          <w:bCs/>
          <w:color w:val="000000"/>
          <w:sz w:val="22"/>
        </w:rPr>
        <w:t>6</w:t>
      </w:r>
      <w:r w:rsidRPr="002B3C0C">
        <w:rPr>
          <w:rFonts w:ascii="Arial" w:hAnsi="Arial"/>
          <w:b/>
          <w:color w:val="000000"/>
          <w:sz w:val="22"/>
        </w:rPr>
        <w:t xml:space="preserve"> </w:t>
      </w:r>
      <w:r>
        <w:rPr>
          <w:rFonts w:ascii="Arial" w:hAnsi="Arial"/>
          <w:b/>
          <w:color w:val="000000"/>
          <w:sz w:val="22"/>
        </w:rPr>
        <w:t xml:space="preserve">Alternative </w:t>
      </w:r>
      <w:r w:rsidRPr="002B3C0C">
        <w:rPr>
          <w:rFonts w:ascii="Arial" w:hAnsi="Arial"/>
          <w:b/>
          <w:color w:val="000000"/>
          <w:sz w:val="22"/>
        </w:rPr>
        <w:t>Improper Payment Estimation Methodolog</w:t>
      </w:r>
      <w:r w:rsidR="00A228AB">
        <w:rPr>
          <w:rFonts w:ascii="Arial" w:hAnsi="Arial"/>
          <w:b/>
          <w:color w:val="000000"/>
          <w:sz w:val="22"/>
        </w:rPr>
        <w:t>y</w:t>
      </w:r>
    </w:p>
    <w:p w14:paraId="6787C528" w14:textId="77777777" w:rsidR="00A910DA" w:rsidRPr="002B3C0C" w:rsidRDefault="00A910DA" w:rsidP="00A910DA">
      <w:pPr>
        <w:autoSpaceDE w:val="0"/>
        <w:autoSpaceDN w:val="0"/>
        <w:adjustRightInd w:val="0"/>
        <w:spacing w:after="0" w:line="240" w:lineRule="auto"/>
        <w:rPr>
          <w:rFonts w:ascii="Arial" w:hAnsi="Arial"/>
          <w:b/>
          <w:color w:val="365E92"/>
          <w:sz w:val="23"/>
        </w:rPr>
      </w:pPr>
    </w:p>
    <w:p w14:paraId="5EA37EBA" w14:textId="77777777" w:rsidR="00A910DA" w:rsidRPr="002B3C0C" w:rsidRDefault="00A910DA" w:rsidP="00A910DA">
      <w:pPr>
        <w:autoSpaceDE w:val="0"/>
        <w:autoSpaceDN w:val="0"/>
        <w:adjustRightInd w:val="0"/>
        <w:spacing w:after="0" w:line="240" w:lineRule="auto"/>
        <w:rPr>
          <w:rFonts w:asciiTheme="minorHAnsi" w:hAnsiTheme="minorHAnsi" w:cstheme="minorHAnsi"/>
          <w:color w:val="365E92"/>
        </w:rPr>
      </w:pPr>
      <w:r w:rsidRPr="002B3C0C">
        <w:rPr>
          <w:rFonts w:asciiTheme="minorHAnsi" w:hAnsiTheme="minorHAnsi" w:cstheme="minorHAnsi"/>
          <w:b/>
          <w:color w:val="365E92"/>
          <w:sz w:val="23"/>
        </w:rPr>
        <w:t>Introduction</w:t>
      </w:r>
    </w:p>
    <w:p w14:paraId="41418554" w14:textId="77777777" w:rsidR="00A910DA" w:rsidRPr="002B3C0C" w:rsidRDefault="00A910DA" w:rsidP="00A910DA">
      <w:pPr>
        <w:autoSpaceDE w:val="0"/>
        <w:autoSpaceDN w:val="0"/>
        <w:adjustRightInd w:val="0"/>
        <w:spacing w:after="0" w:line="240" w:lineRule="auto"/>
        <w:rPr>
          <w:rFonts w:asciiTheme="minorHAnsi" w:hAnsiTheme="minorHAnsi" w:cstheme="minorHAnsi"/>
          <w:b/>
          <w:color w:val="365E92"/>
          <w:sz w:val="23"/>
        </w:rPr>
      </w:pPr>
    </w:p>
    <w:p w14:paraId="09A4C69A" w14:textId="12808810" w:rsidR="00A910DA" w:rsidRPr="002B3C0C" w:rsidRDefault="00A910DA" w:rsidP="00A910DA">
      <w:pPr>
        <w:autoSpaceDE w:val="0"/>
        <w:autoSpaceDN w:val="0"/>
        <w:adjustRightInd w:val="0"/>
        <w:spacing w:after="0" w:line="240" w:lineRule="auto"/>
        <w:rPr>
          <w:rFonts w:asciiTheme="minorHAnsi" w:hAnsiTheme="minorHAnsi" w:cstheme="minorHAnsi"/>
          <w:color w:val="000000"/>
          <w:sz w:val="22"/>
        </w:rPr>
      </w:pPr>
      <w:r w:rsidRPr="002B3C0C">
        <w:rPr>
          <w:rFonts w:asciiTheme="minorHAnsi" w:hAnsiTheme="minorHAnsi" w:cstheme="minorHAnsi"/>
          <w:color w:val="000000"/>
          <w:sz w:val="22"/>
        </w:rPr>
        <w:t xml:space="preserve">Simplifying and </w:t>
      </w:r>
      <w:r w:rsidR="006201B5">
        <w:rPr>
          <w:rFonts w:asciiTheme="minorHAnsi" w:hAnsiTheme="minorHAnsi" w:cstheme="minorHAnsi"/>
          <w:color w:val="000000"/>
          <w:sz w:val="22"/>
        </w:rPr>
        <w:t>accelerating</w:t>
      </w:r>
      <w:r w:rsidRPr="002B3C0C">
        <w:rPr>
          <w:rFonts w:asciiTheme="minorHAnsi" w:hAnsiTheme="minorHAnsi" w:cstheme="minorHAnsi"/>
          <w:color w:val="000000"/>
          <w:sz w:val="22"/>
        </w:rPr>
        <w:t xml:space="preserve"> access to student aid dollars while minimizing errors and the potential for fraud remains a Department priority. To this end, Federal Student Aid (FSA) management is committed to improper payment prevention, mitigation, and reduction and continues to strengthen improper payment controls, and develop and enhance estimation methodologies and analytics to monitor FSA programs. Accurate improper payment estimation is essential to achieving these objectives and will continue to inform root cause analysis and corrective actions, as described in part in the </w:t>
      </w:r>
      <w:hyperlink r:id="rId9" w:history="1">
        <w:r w:rsidRPr="002B3C0C">
          <w:rPr>
            <w:rStyle w:val="Hyperlink"/>
            <w:rFonts w:asciiTheme="minorHAnsi" w:hAnsiTheme="minorHAnsi" w:cstheme="minorHAnsi"/>
            <w:sz w:val="22"/>
          </w:rPr>
          <w:t xml:space="preserve">Fiscal Year (FY) </w:t>
        </w:r>
        <w:r w:rsidR="00244155" w:rsidRPr="002B3C0C">
          <w:rPr>
            <w:rStyle w:val="Hyperlink"/>
            <w:rFonts w:asciiTheme="minorHAnsi" w:hAnsiTheme="minorHAnsi" w:cstheme="minorHAnsi"/>
            <w:sz w:val="22"/>
          </w:rPr>
          <w:t>201</w:t>
        </w:r>
        <w:r w:rsidR="00244155">
          <w:rPr>
            <w:rStyle w:val="Hyperlink"/>
            <w:rFonts w:asciiTheme="minorHAnsi" w:hAnsiTheme="minorHAnsi" w:cstheme="minorHAnsi"/>
            <w:sz w:val="22"/>
          </w:rPr>
          <w:t>6</w:t>
        </w:r>
        <w:r w:rsidR="00244155" w:rsidRPr="002B3C0C">
          <w:rPr>
            <w:rStyle w:val="Hyperlink"/>
            <w:rFonts w:asciiTheme="minorHAnsi" w:hAnsiTheme="minorHAnsi" w:cstheme="minorHAnsi"/>
            <w:sz w:val="22"/>
          </w:rPr>
          <w:t xml:space="preserve"> </w:t>
        </w:r>
        <w:r w:rsidRPr="002B3C0C">
          <w:rPr>
            <w:rStyle w:val="Hyperlink"/>
            <w:rFonts w:asciiTheme="minorHAnsi" w:hAnsiTheme="minorHAnsi" w:cstheme="minorHAnsi"/>
            <w:sz w:val="22"/>
          </w:rPr>
          <w:t>Annual Financial Report (AFR)</w:t>
        </w:r>
      </w:hyperlink>
      <w:r w:rsidRPr="002B3C0C">
        <w:rPr>
          <w:rFonts w:asciiTheme="minorHAnsi" w:hAnsiTheme="minorHAnsi" w:cstheme="minorHAnsi"/>
          <w:color w:val="0000FF"/>
          <w:sz w:val="22"/>
        </w:rPr>
        <w:t>.</w:t>
      </w:r>
    </w:p>
    <w:p w14:paraId="1163C8AE" w14:textId="77777777" w:rsidR="00A910DA" w:rsidRPr="002B3C0C" w:rsidRDefault="00A910DA" w:rsidP="00A910DA">
      <w:pPr>
        <w:autoSpaceDE w:val="0"/>
        <w:autoSpaceDN w:val="0"/>
        <w:adjustRightInd w:val="0"/>
        <w:spacing w:after="0" w:line="240" w:lineRule="auto"/>
        <w:rPr>
          <w:rFonts w:asciiTheme="minorHAnsi" w:hAnsiTheme="minorHAnsi" w:cstheme="minorHAnsi"/>
          <w:color w:val="000000"/>
          <w:sz w:val="22"/>
        </w:rPr>
      </w:pPr>
    </w:p>
    <w:p w14:paraId="3C1680AC" w14:textId="77777777" w:rsidR="00A910DA" w:rsidRPr="002B3C0C" w:rsidRDefault="00A910DA" w:rsidP="00A910DA">
      <w:pPr>
        <w:autoSpaceDE w:val="0"/>
        <w:autoSpaceDN w:val="0"/>
        <w:adjustRightInd w:val="0"/>
        <w:spacing w:after="0" w:line="240" w:lineRule="auto"/>
        <w:rPr>
          <w:rFonts w:asciiTheme="minorHAnsi" w:hAnsiTheme="minorHAnsi" w:cstheme="minorHAnsi"/>
          <w:color w:val="000000"/>
          <w:sz w:val="22"/>
        </w:rPr>
      </w:pPr>
      <w:r w:rsidRPr="002B3C0C">
        <w:rPr>
          <w:rFonts w:asciiTheme="minorHAnsi" w:hAnsiTheme="minorHAnsi" w:cstheme="minorHAnsi"/>
          <w:color w:val="000000"/>
          <w:sz w:val="22"/>
        </w:rPr>
        <w:t xml:space="preserve">As described in the </w:t>
      </w:r>
      <w:hyperlink r:id="rId10" w:history="1">
        <w:r w:rsidRPr="002B3C0C">
          <w:rPr>
            <w:rStyle w:val="Hyperlink"/>
            <w:rFonts w:asciiTheme="minorHAnsi" w:hAnsiTheme="minorHAnsi" w:cstheme="minorHAnsi"/>
            <w:sz w:val="22"/>
          </w:rPr>
          <w:t>FY 2014 AFR</w:t>
        </w:r>
      </w:hyperlink>
      <w:r w:rsidRPr="002B3C0C">
        <w:rPr>
          <w:rFonts w:asciiTheme="minorHAnsi" w:hAnsiTheme="minorHAnsi" w:cstheme="minorHAnsi"/>
          <w:color w:val="000000"/>
          <w:sz w:val="22"/>
        </w:rPr>
        <w:t>, the Department obtained approval from Office of Management and Budget (OMB) to use an alternative methodology for estimating improper payments for FSA programs susceptible to significant improper payment risk for FY 2014 and beyond. These methodologies were further refined in FY 2015</w:t>
      </w:r>
      <w:r w:rsidR="00244155">
        <w:rPr>
          <w:rFonts w:asciiTheme="minorHAnsi" w:hAnsiTheme="minorHAnsi" w:cstheme="minorHAnsi"/>
          <w:color w:val="000000"/>
          <w:sz w:val="22"/>
        </w:rPr>
        <w:t xml:space="preserve"> and FY 2016</w:t>
      </w:r>
      <w:r w:rsidRPr="002B3C0C">
        <w:rPr>
          <w:rFonts w:asciiTheme="minorHAnsi" w:hAnsiTheme="minorHAnsi" w:cstheme="minorHAnsi"/>
          <w:color w:val="000000"/>
          <w:sz w:val="22"/>
        </w:rPr>
        <w:t xml:space="preserve">. The estimation methodology utilized by FSA leverages the substantial investment in its existing internal control framework to include compliance and assessment functions, such as Program Reviews conducted by FSA’s Program Compliance - School Eligibility Service Group (SESG). Leveraging existing investments in the Program Review process avoids significant costs that would otherwise be required for separate testing at schools and institutions. Further, our analysis of this rich data set helps inform tangible corrective actions in these programs. Although there are some statistical limitations with this alternative sampling plan and estimation methodology including reliance on non-random sampling, and limited sample size, this approach provides for a more efficient allocation of resources, improvements to the core underlying processes over time, and the integration of the program into core functions. This increases the likelihood of a sustainable program despite limited out-year budget funding. </w:t>
      </w:r>
    </w:p>
    <w:p w14:paraId="46530892" w14:textId="77777777" w:rsidR="00A910DA" w:rsidRPr="002B3C0C" w:rsidRDefault="00A910DA" w:rsidP="00A910DA">
      <w:pPr>
        <w:autoSpaceDE w:val="0"/>
        <w:autoSpaceDN w:val="0"/>
        <w:adjustRightInd w:val="0"/>
        <w:spacing w:after="0" w:line="240" w:lineRule="auto"/>
        <w:rPr>
          <w:rFonts w:asciiTheme="minorHAnsi" w:hAnsiTheme="minorHAnsi" w:cstheme="minorHAnsi"/>
          <w:b/>
          <w:color w:val="365E92"/>
          <w:sz w:val="23"/>
        </w:rPr>
      </w:pPr>
    </w:p>
    <w:p w14:paraId="7A7CAAD1" w14:textId="67F08482" w:rsidR="00A910DA" w:rsidRPr="002B3C0C" w:rsidRDefault="00A910DA" w:rsidP="00A910DA">
      <w:pPr>
        <w:autoSpaceDE w:val="0"/>
        <w:autoSpaceDN w:val="0"/>
        <w:adjustRightInd w:val="0"/>
        <w:spacing w:after="0" w:line="240" w:lineRule="auto"/>
        <w:rPr>
          <w:rFonts w:asciiTheme="minorHAnsi" w:hAnsiTheme="minorHAnsi" w:cstheme="minorHAnsi"/>
          <w:color w:val="365E92"/>
        </w:rPr>
      </w:pPr>
      <w:r w:rsidRPr="002B3C0C">
        <w:rPr>
          <w:rFonts w:asciiTheme="minorHAnsi" w:hAnsiTheme="minorHAnsi" w:cstheme="minorHAnsi"/>
          <w:b/>
          <w:color w:val="365E92"/>
          <w:sz w:val="23"/>
        </w:rPr>
        <w:t xml:space="preserve">FY </w:t>
      </w:r>
      <w:r w:rsidRPr="002B3C0C">
        <w:rPr>
          <w:rFonts w:asciiTheme="minorHAnsi" w:hAnsiTheme="minorHAnsi" w:cstheme="minorHAnsi"/>
          <w:b/>
          <w:bCs/>
          <w:color w:val="365E92"/>
          <w:sz w:val="23"/>
          <w:szCs w:val="23"/>
        </w:rPr>
        <w:t>201</w:t>
      </w:r>
      <w:r w:rsidR="00244155">
        <w:rPr>
          <w:rFonts w:asciiTheme="minorHAnsi" w:hAnsiTheme="minorHAnsi" w:cstheme="minorHAnsi"/>
          <w:b/>
          <w:bCs/>
          <w:color w:val="365E92"/>
          <w:sz w:val="23"/>
          <w:szCs w:val="23"/>
        </w:rPr>
        <w:t>6</w:t>
      </w:r>
      <w:r w:rsidRPr="002B3C0C">
        <w:rPr>
          <w:rFonts w:asciiTheme="minorHAnsi" w:hAnsiTheme="minorHAnsi" w:cstheme="minorHAnsi"/>
          <w:b/>
          <w:color w:val="365E92"/>
          <w:sz w:val="23"/>
        </w:rPr>
        <w:t xml:space="preserve"> OMB Approval Status</w:t>
      </w:r>
      <w:r w:rsidRPr="002B3C0C">
        <w:rPr>
          <w:rFonts w:asciiTheme="minorHAnsi" w:hAnsiTheme="minorHAnsi" w:cstheme="minorHAnsi"/>
          <w:b/>
          <w:bCs/>
          <w:color w:val="365E92"/>
          <w:sz w:val="23"/>
          <w:szCs w:val="23"/>
        </w:rPr>
        <w:t xml:space="preserve"> and Updates</w:t>
      </w:r>
    </w:p>
    <w:p w14:paraId="1BB215B4" w14:textId="77777777" w:rsidR="00A910DA" w:rsidRPr="002B3C0C" w:rsidRDefault="00A910DA" w:rsidP="00A910DA">
      <w:pPr>
        <w:autoSpaceDE w:val="0"/>
        <w:autoSpaceDN w:val="0"/>
        <w:adjustRightInd w:val="0"/>
        <w:spacing w:after="0" w:line="240" w:lineRule="auto"/>
        <w:rPr>
          <w:rFonts w:asciiTheme="minorHAnsi" w:hAnsiTheme="minorHAnsi" w:cstheme="minorHAnsi"/>
          <w:color w:val="000000"/>
          <w:sz w:val="22"/>
        </w:rPr>
      </w:pPr>
    </w:p>
    <w:p w14:paraId="42E8677D" w14:textId="58B10AC3" w:rsidR="008041EE" w:rsidRPr="00FB0A29" w:rsidRDefault="00244155" w:rsidP="00A910DA">
      <w:pPr>
        <w:autoSpaceDE w:val="0"/>
        <w:autoSpaceDN w:val="0"/>
        <w:adjustRightInd w:val="0"/>
        <w:spacing w:after="0" w:line="240" w:lineRule="auto"/>
        <w:rPr>
          <w:rFonts w:asciiTheme="minorHAnsi" w:hAnsiTheme="minorHAnsi" w:cstheme="minorHAnsi"/>
          <w:color w:val="000000"/>
          <w:sz w:val="22"/>
        </w:rPr>
      </w:pPr>
      <w:r>
        <w:rPr>
          <w:rFonts w:asciiTheme="minorHAnsi" w:hAnsiTheme="minorHAnsi" w:cstheme="minorHAnsi"/>
          <w:color w:val="000000"/>
          <w:sz w:val="22"/>
          <w:szCs w:val="24"/>
        </w:rPr>
        <w:t>On October 14, 2016</w:t>
      </w:r>
      <w:r w:rsidR="00A910DA" w:rsidRPr="002B3C0C">
        <w:rPr>
          <w:rFonts w:asciiTheme="minorHAnsi" w:hAnsiTheme="minorHAnsi" w:cstheme="minorHAnsi"/>
          <w:color w:val="000000"/>
          <w:sz w:val="22"/>
          <w:szCs w:val="24"/>
        </w:rPr>
        <w:t>, the OMB approved the alternative sampling plan and estimation methodology</w:t>
      </w:r>
      <w:r w:rsidR="00A910DA" w:rsidRPr="002B3C0C" w:rsidDel="003A399B">
        <w:rPr>
          <w:rFonts w:asciiTheme="minorHAnsi" w:hAnsiTheme="minorHAnsi" w:cstheme="minorHAnsi"/>
          <w:color w:val="000000"/>
          <w:sz w:val="22"/>
          <w:szCs w:val="24"/>
        </w:rPr>
        <w:t xml:space="preserve"> </w:t>
      </w:r>
      <w:r w:rsidR="00AF4E0A">
        <w:rPr>
          <w:rFonts w:asciiTheme="minorHAnsi" w:hAnsiTheme="minorHAnsi" w:cstheme="minorHAnsi"/>
          <w:color w:val="000000"/>
          <w:sz w:val="22"/>
          <w:szCs w:val="24"/>
        </w:rPr>
        <w:t xml:space="preserve">for FY 2016 reporting </w:t>
      </w:r>
      <w:r w:rsidR="00A910DA" w:rsidRPr="002B3C0C">
        <w:rPr>
          <w:rFonts w:asciiTheme="minorHAnsi" w:hAnsiTheme="minorHAnsi" w:cstheme="minorHAnsi"/>
          <w:color w:val="000000"/>
          <w:sz w:val="22"/>
          <w:szCs w:val="24"/>
        </w:rPr>
        <w:t>for all risk-susceptible programs (i.e., the Pell Grant (Pell) Program and Direct Loan (DL) Program) described below.</w:t>
      </w:r>
      <w:r w:rsidR="00A910DA" w:rsidRPr="002B3C0C">
        <w:rPr>
          <w:rFonts w:asciiTheme="minorHAnsi" w:hAnsiTheme="minorHAnsi" w:cstheme="minorHAnsi"/>
          <w:color w:val="000000"/>
          <w:sz w:val="22"/>
        </w:rPr>
        <w:t xml:space="preserve"> This alternative estimation methodology continues to leverage the substantial investment in FSA’s existing internal control framework, including Program Reviews. This methodology, as described in the Department’s FY 2014 AFR, was further refined in FY 2015</w:t>
      </w:r>
      <w:r w:rsidR="00AF4E0A">
        <w:rPr>
          <w:rFonts w:asciiTheme="minorHAnsi" w:hAnsiTheme="minorHAnsi" w:cstheme="minorHAnsi"/>
          <w:color w:val="000000"/>
          <w:sz w:val="22"/>
        </w:rPr>
        <w:t xml:space="preserve"> and FY 2016</w:t>
      </w:r>
      <w:r w:rsidR="00C130CA">
        <w:rPr>
          <w:rFonts w:asciiTheme="minorHAnsi" w:hAnsiTheme="minorHAnsi" w:cstheme="minorHAnsi"/>
          <w:color w:val="000000"/>
          <w:sz w:val="22"/>
        </w:rPr>
        <w:t xml:space="preserve">. The FY 2016 </w:t>
      </w:r>
      <w:r w:rsidR="00A910DA" w:rsidRPr="002B3C0C">
        <w:rPr>
          <w:rFonts w:asciiTheme="minorHAnsi" w:hAnsiTheme="minorHAnsi" w:cstheme="minorHAnsi"/>
          <w:color w:val="000000"/>
          <w:sz w:val="22"/>
        </w:rPr>
        <w:t xml:space="preserve">refinements include </w:t>
      </w:r>
      <w:r w:rsidR="00FB0A29">
        <w:rPr>
          <w:rFonts w:asciiTheme="minorHAnsi" w:hAnsiTheme="minorHAnsi" w:cstheme="minorHAnsi"/>
          <w:color w:val="000000"/>
          <w:sz w:val="22"/>
        </w:rPr>
        <w:t>expansion of the sample size to include Program Review Reports conducted in multiple FYs</w:t>
      </w:r>
      <w:r w:rsidR="00C130CA">
        <w:rPr>
          <w:rFonts w:asciiTheme="minorHAnsi" w:hAnsiTheme="minorHAnsi" w:cstheme="minorHAnsi"/>
          <w:color w:val="000000"/>
          <w:sz w:val="22"/>
        </w:rPr>
        <w:t xml:space="preserve"> for the applicable award year (AY)</w:t>
      </w:r>
      <w:r w:rsidR="00FB0A29">
        <w:rPr>
          <w:rFonts w:asciiTheme="minorHAnsi" w:hAnsiTheme="minorHAnsi" w:cstheme="minorHAnsi"/>
          <w:color w:val="000000"/>
          <w:sz w:val="22"/>
        </w:rPr>
        <w:t xml:space="preserve">, </w:t>
      </w:r>
      <w:r w:rsidR="00FB198C">
        <w:rPr>
          <w:rFonts w:asciiTheme="minorHAnsi" w:hAnsiTheme="minorHAnsi" w:cstheme="minorHAnsi"/>
          <w:color w:val="000000"/>
          <w:sz w:val="22"/>
        </w:rPr>
        <w:t xml:space="preserve">incorporation of two additional sources of improper payments (i.e., </w:t>
      </w:r>
      <w:r w:rsidR="00FB198C" w:rsidRPr="00373E58">
        <w:rPr>
          <w:rFonts w:asciiTheme="minorHAnsi" w:hAnsiTheme="minorHAnsi" w:cstheme="minorHAnsi"/>
          <w:color w:val="000000"/>
          <w:sz w:val="22"/>
        </w:rPr>
        <w:t xml:space="preserve">improper payments resulting from recipients submitting inaccurate self-reported income on the FAFSA, </w:t>
      </w:r>
      <w:r w:rsidR="00FB198C">
        <w:rPr>
          <w:rFonts w:asciiTheme="minorHAnsi" w:hAnsiTheme="minorHAnsi" w:cstheme="minorHAnsi"/>
          <w:color w:val="000000"/>
          <w:sz w:val="22"/>
        </w:rPr>
        <w:t>and</w:t>
      </w:r>
      <w:r w:rsidR="00FB198C" w:rsidRPr="00373E58">
        <w:rPr>
          <w:rFonts w:asciiTheme="minorHAnsi" w:hAnsiTheme="minorHAnsi" w:cstheme="minorHAnsi"/>
          <w:color w:val="000000"/>
          <w:sz w:val="22"/>
        </w:rPr>
        <w:t xml:space="preserve"> improper payments resulting from schools disbursing Pell Grant (Pell) and Direct Loan (DL) funds to students enrolled in ineligible programs or students attending ineligible locations</w:t>
      </w:r>
      <w:r w:rsidR="00FB198C">
        <w:rPr>
          <w:rFonts w:asciiTheme="minorHAnsi" w:hAnsiTheme="minorHAnsi" w:cstheme="minorHAnsi"/>
          <w:color w:val="000000"/>
          <w:sz w:val="22"/>
        </w:rPr>
        <w:t xml:space="preserve">), </w:t>
      </w:r>
      <w:r w:rsidR="00A910DA" w:rsidRPr="002B3C0C">
        <w:rPr>
          <w:rFonts w:asciiTheme="minorHAnsi" w:hAnsiTheme="minorHAnsi" w:cstheme="minorHAnsi"/>
          <w:color w:val="000000"/>
          <w:sz w:val="22"/>
        </w:rPr>
        <w:t xml:space="preserve">clarification of sample sizes, updates to formulas, citations and references, and inclusion of justification of updates to the alternative methodology. </w:t>
      </w:r>
    </w:p>
    <w:p w14:paraId="68D6FC80" w14:textId="77777777" w:rsidR="00A910DA" w:rsidRPr="002B3C0C" w:rsidRDefault="00A910DA" w:rsidP="00A910DA">
      <w:pPr>
        <w:autoSpaceDE w:val="0"/>
        <w:autoSpaceDN w:val="0"/>
        <w:adjustRightInd w:val="0"/>
        <w:spacing w:after="0" w:line="240" w:lineRule="auto"/>
        <w:rPr>
          <w:rFonts w:asciiTheme="minorHAnsi" w:hAnsiTheme="minorHAnsi" w:cstheme="minorHAnsi"/>
          <w:sz w:val="22"/>
        </w:rPr>
      </w:pPr>
    </w:p>
    <w:p w14:paraId="1AA1AF64" w14:textId="77777777" w:rsidR="00A910DA" w:rsidRPr="002B3C0C" w:rsidRDefault="00A910DA" w:rsidP="00A910DA">
      <w:pPr>
        <w:autoSpaceDE w:val="0"/>
        <w:autoSpaceDN w:val="0"/>
        <w:adjustRightInd w:val="0"/>
        <w:spacing w:after="0" w:line="240" w:lineRule="auto"/>
        <w:rPr>
          <w:rFonts w:asciiTheme="minorHAnsi" w:hAnsiTheme="minorHAnsi" w:cstheme="minorHAnsi"/>
          <w:b/>
          <w:bCs/>
          <w:color w:val="365E92"/>
          <w:sz w:val="23"/>
          <w:szCs w:val="23"/>
        </w:rPr>
      </w:pPr>
      <w:r w:rsidRPr="002B3C0C">
        <w:rPr>
          <w:rFonts w:asciiTheme="minorHAnsi" w:hAnsiTheme="minorHAnsi" w:cstheme="minorHAnsi"/>
          <w:b/>
          <w:bCs/>
          <w:color w:val="365E92"/>
          <w:sz w:val="23"/>
          <w:szCs w:val="23"/>
        </w:rPr>
        <w:t>FSA Programs Susceptible to Significant Improper Payment Risk</w:t>
      </w:r>
    </w:p>
    <w:p w14:paraId="47D25097" w14:textId="77777777" w:rsidR="00A910DA" w:rsidRPr="002B3C0C" w:rsidRDefault="00A910DA" w:rsidP="00A910DA">
      <w:pPr>
        <w:autoSpaceDE w:val="0"/>
        <w:autoSpaceDN w:val="0"/>
        <w:adjustRightInd w:val="0"/>
        <w:spacing w:after="0" w:line="240" w:lineRule="auto"/>
        <w:rPr>
          <w:rFonts w:asciiTheme="minorHAnsi" w:hAnsiTheme="minorHAnsi" w:cstheme="minorHAnsi"/>
          <w:color w:val="000000"/>
          <w:sz w:val="22"/>
        </w:rPr>
      </w:pPr>
    </w:p>
    <w:p w14:paraId="6A6A92B6" w14:textId="77777777" w:rsidR="00A910DA" w:rsidRPr="002B3C0C" w:rsidRDefault="00A910DA" w:rsidP="00A910DA">
      <w:pPr>
        <w:autoSpaceDE w:val="0"/>
        <w:autoSpaceDN w:val="0"/>
        <w:adjustRightInd w:val="0"/>
        <w:spacing w:after="0" w:line="240" w:lineRule="auto"/>
        <w:rPr>
          <w:rFonts w:asciiTheme="minorHAnsi" w:hAnsiTheme="minorHAnsi" w:cstheme="minorHAnsi"/>
          <w:color w:val="000000"/>
          <w:sz w:val="22"/>
        </w:rPr>
      </w:pPr>
      <w:r w:rsidRPr="002B3C0C">
        <w:rPr>
          <w:rFonts w:asciiTheme="minorHAnsi" w:hAnsiTheme="minorHAnsi" w:cstheme="minorHAnsi"/>
          <w:color w:val="000000"/>
          <w:sz w:val="22"/>
        </w:rPr>
        <w:t xml:space="preserve">The </w:t>
      </w:r>
      <w:r w:rsidRPr="002B3C0C">
        <w:rPr>
          <w:rFonts w:asciiTheme="minorHAnsi" w:hAnsiTheme="minorHAnsi" w:cstheme="minorHAnsi"/>
          <w:bCs/>
          <w:color w:val="000000"/>
          <w:sz w:val="22"/>
        </w:rPr>
        <w:t xml:space="preserve">Department submitted, with OIG </w:t>
      </w:r>
      <w:r w:rsidRPr="002B3C0C">
        <w:rPr>
          <w:rFonts w:asciiTheme="minorHAnsi" w:hAnsiTheme="minorHAnsi" w:cstheme="minorHAnsi"/>
          <w:color w:val="000000"/>
          <w:sz w:val="22"/>
        </w:rPr>
        <w:t xml:space="preserve">concurrence, a request to reclassify FFEL as a low risk program in FY 2015. On August 4, 2015 OMB granted approval for the FFEL Program to be excluded from the annual estimation process. No annual estimate for FFEL improper payments are required if the program </w:t>
      </w:r>
      <w:r w:rsidRPr="002B3C0C">
        <w:rPr>
          <w:rFonts w:asciiTheme="minorHAnsi" w:hAnsiTheme="minorHAnsi" w:cstheme="minorHAnsi"/>
          <w:color w:val="000000"/>
          <w:sz w:val="22"/>
        </w:rPr>
        <w:lastRenderedPageBreak/>
        <w:t>remains low risk and no significant legislative or program changes occur, as well as no significant funding increases and/or any change that would result in substantial program impact. As a result, the proposed alternative sampling and estimation methodology covers the Pell and DL programs only.</w:t>
      </w:r>
    </w:p>
    <w:p w14:paraId="181D1EEF" w14:textId="77777777" w:rsidR="00A910DA" w:rsidRPr="002B3C0C" w:rsidRDefault="00A910DA" w:rsidP="00A910DA">
      <w:pPr>
        <w:autoSpaceDE w:val="0"/>
        <w:autoSpaceDN w:val="0"/>
        <w:adjustRightInd w:val="0"/>
        <w:spacing w:after="0" w:line="240" w:lineRule="auto"/>
        <w:rPr>
          <w:rFonts w:asciiTheme="minorHAnsi" w:hAnsiTheme="minorHAnsi" w:cstheme="minorHAnsi"/>
          <w:b/>
          <w:bCs/>
          <w:color w:val="365E92"/>
          <w:sz w:val="23"/>
          <w:szCs w:val="23"/>
        </w:rPr>
      </w:pPr>
    </w:p>
    <w:p w14:paraId="303886C6" w14:textId="77777777" w:rsidR="00A910DA" w:rsidRPr="002B3C0C" w:rsidRDefault="00A910DA" w:rsidP="00A910DA">
      <w:pPr>
        <w:autoSpaceDE w:val="0"/>
        <w:autoSpaceDN w:val="0"/>
        <w:adjustRightInd w:val="0"/>
        <w:spacing w:after="0" w:line="240" w:lineRule="auto"/>
        <w:rPr>
          <w:rFonts w:asciiTheme="minorHAnsi" w:hAnsiTheme="minorHAnsi" w:cstheme="minorHAnsi"/>
          <w:b/>
          <w:bCs/>
          <w:color w:val="365E92"/>
          <w:sz w:val="23"/>
          <w:szCs w:val="23"/>
        </w:rPr>
      </w:pPr>
      <w:r w:rsidRPr="002B3C0C">
        <w:rPr>
          <w:rFonts w:asciiTheme="minorHAnsi" w:hAnsiTheme="minorHAnsi" w:cstheme="minorHAnsi"/>
          <w:b/>
          <w:bCs/>
          <w:color w:val="365E92"/>
          <w:sz w:val="23"/>
          <w:szCs w:val="23"/>
        </w:rPr>
        <w:t>Alternative Estimation Methodology</w:t>
      </w:r>
    </w:p>
    <w:p w14:paraId="03972C81" w14:textId="77777777" w:rsidR="00A910DA" w:rsidRPr="002B3C0C" w:rsidRDefault="00A910DA" w:rsidP="00A910DA">
      <w:pPr>
        <w:autoSpaceDE w:val="0"/>
        <w:autoSpaceDN w:val="0"/>
        <w:adjustRightInd w:val="0"/>
        <w:spacing w:after="0" w:line="240" w:lineRule="auto"/>
        <w:rPr>
          <w:rFonts w:asciiTheme="minorHAnsi" w:hAnsiTheme="minorHAnsi" w:cstheme="minorHAnsi"/>
          <w:color w:val="000000"/>
          <w:sz w:val="22"/>
        </w:rPr>
      </w:pPr>
    </w:p>
    <w:p w14:paraId="59930AC8" w14:textId="77777777" w:rsidR="00A910DA" w:rsidRPr="002B3C0C" w:rsidRDefault="00A910DA" w:rsidP="00A910DA">
      <w:pPr>
        <w:autoSpaceDE w:val="0"/>
        <w:autoSpaceDN w:val="0"/>
        <w:adjustRightInd w:val="0"/>
        <w:spacing w:after="0" w:line="240" w:lineRule="auto"/>
        <w:rPr>
          <w:rFonts w:asciiTheme="minorHAnsi" w:hAnsiTheme="minorHAnsi" w:cstheme="minorHAnsi"/>
          <w:b/>
          <w:bCs/>
          <w:color w:val="000000"/>
          <w:sz w:val="22"/>
        </w:rPr>
      </w:pPr>
      <w:r w:rsidRPr="002B3C0C">
        <w:rPr>
          <w:rFonts w:asciiTheme="minorHAnsi" w:hAnsiTheme="minorHAnsi" w:cstheme="minorHAnsi"/>
          <w:b/>
          <w:bCs/>
          <w:color w:val="000000"/>
          <w:sz w:val="22"/>
        </w:rPr>
        <w:t>Pell Grant Program</w:t>
      </w:r>
    </w:p>
    <w:p w14:paraId="79118427" w14:textId="77777777" w:rsidR="00A910DA" w:rsidRPr="002B3C0C" w:rsidRDefault="00A910DA" w:rsidP="00A910DA">
      <w:pPr>
        <w:autoSpaceDE w:val="0"/>
        <w:autoSpaceDN w:val="0"/>
        <w:adjustRightInd w:val="0"/>
        <w:spacing w:after="0" w:line="240" w:lineRule="auto"/>
        <w:rPr>
          <w:rFonts w:asciiTheme="minorHAnsi" w:hAnsiTheme="minorHAnsi" w:cstheme="minorHAnsi"/>
          <w:color w:val="000000"/>
          <w:sz w:val="22"/>
        </w:rPr>
      </w:pPr>
    </w:p>
    <w:p w14:paraId="3007C2C8" w14:textId="1C89BC58" w:rsidR="00A910DA" w:rsidRPr="002B3C0C" w:rsidRDefault="00A910DA" w:rsidP="00A910DA">
      <w:pPr>
        <w:pStyle w:val="CommentText"/>
        <w:spacing w:after="0"/>
        <w:rPr>
          <w:rFonts w:asciiTheme="minorHAnsi" w:hAnsiTheme="minorHAnsi" w:cstheme="minorHAnsi"/>
          <w:color w:val="000000"/>
          <w:sz w:val="22"/>
          <w:szCs w:val="22"/>
        </w:rPr>
      </w:pPr>
      <w:r w:rsidRPr="002B3C0C">
        <w:rPr>
          <w:rFonts w:asciiTheme="minorHAnsi" w:hAnsiTheme="minorHAnsi" w:cstheme="minorHAnsi"/>
          <w:color w:val="000000"/>
          <w:sz w:val="22"/>
          <w:szCs w:val="22"/>
        </w:rPr>
        <w:t xml:space="preserve">Both the Pell and DL estimation methodologies include evaluation of </w:t>
      </w:r>
      <w:r w:rsidRPr="002B3C0C">
        <w:rPr>
          <w:rFonts w:asciiTheme="minorHAnsi" w:hAnsiTheme="minorHAnsi" w:cstheme="minorHAnsi"/>
          <w:color w:val="000000"/>
          <w:sz w:val="22"/>
        </w:rPr>
        <w:t xml:space="preserve">Program Reviews </w:t>
      </w:r>
      <w:r w:rsidR="00D95E64">
        <w:rPr>
          <w:rFonts w:asciiTheme="minorHAnsi" w:hAnsiTheme="minorHAnsi" w:cstheme="minorHAnsi"/>
          <w:color w:val="000000"/>
          <w:sz w:val="22"/>
        </w:rPr>
        <w:t>initiated in FYs 2014, 2015 and 2016</w:t>
      </w:r>
      <w:r w:rsidRPr="002B3C0C">
        <w:rPr>
          <w:rFonts w:asciiTheme="minorHAnsi" w:hAnsiTheme="minorHAnsi" w:cstheme="minorHAnsi"/>
          <w:color w:val="000000"/>
          <w:sz w:val="22"/>
        </w:rPr>
        <w:t xml:space="preserve"> </w:t>
      </w:r>
      <w:r w:rsidR="00D95E64">
        <w:rPr>
          <w:rFonts w:asciiTheme="minorHAnsi" w:hAnsiTheme="minorHAnsi" w:cstheme="minorHAnsi"/>
          <w:color w:val="000000"/>
          <w:sz w:val="22"/>
        </w:rPr>
        <w:t xml:space="preserve">and issued by August 5, 2016 </w:t>
      </w:r>
      <w:r w:rsidRPr="002B3C0C">
        <w:rPr>
          <w:rFonts w:asciiTheme="minorHAnsi" w:hAnsiTheme="minorHAnsi" w:cstheme="minorHAnsi"/>
          <w:color w:val="000000"/>
          <w:sz w:val="22"/>
        </w:rPr>
        <w:t>by SESG at a sample of schools</w:t>
      </w:r>
      <w:r w:rsidRPr="002B3C0C">
        <w:rPr>
          <w:rFonts w:asciiTheme="minorHAnsi" w:hAnsiTheme="minorHAnsi" w:cstheme="minorHAnsi"/>
          <w:color w:val="000000"/>
          <w:sz w:val="22"/>
          <w:szCs w:val="22"/>
        </w:rPr>
        <w:t xml:space="preserve"> for aid received in </w:t>
      </w:r>
      <w:r w:rsidR="00C130CA">
        <w:rPr>
          <w:rFonts w:asciiTheme="minorHAnsi" w:hAnsiTheme="minorHAnsi" w:cstheme="minorHAnsi"/>
          <w:color w:val="000000"/>
          <w:sz w:val="22"/>
          <w:szCs w:val="22"/>
        </w:rPr>
        <w:t>AY</w:t>
      </w:r>
      <w:r w:rsidRPr="002B3C0C">
        <w:rPr>
          <w:rFonts w:asciiTheme="minorHAnsi" w:hAnsiTheme="minorHAnsi" w:cstheme="minorHAnsi"/>
          <w:color w:val="000000"/>
          <w:sz w:val="22"/>
          <w:szCs w:val="22"/>
        </w:rPr>
        <w:t xml:space="preserve"> 201</w:t>
      </w:r>
      <w:r w:rsidR="00FB0A29">
        <w:rPr>
          <w:rFonts w:asciiTheme="minorHAnsi" w:hAnsiTheme="minorHAnsi" w:cstheme="minorHAnsi"/>
          <w:color w:val="000000"/>
          <w:sz w:val="22"/>
          <w:szCs w:val="22"/>
        </w:rPr>
        <w:t>3</w:t>
      </w:r>
      <w:r w:rsidRPr="002B3C0C">
        <w:rPr>
          <w:rFonts w:asciiTheme="minorHAnsi" w:hAnsiTheme="minorHAnsi" w:cstheme="minorHAnsi"/>
          <w:color w:val="000000"/>
          <w:sz w:val="22"/>
          <w:szCs w:val="22"/>
        </w:rPr>
        <w:t>-201</w:t>
      </w:r>
      <w:r w:rsidR="00FB0A29">
        <w:rPr>
          <w:rFonts w:asciiTheme="minorHAnsi" w:hAnsiTheme="minorHAnsi" w:cstheme="minorHAnsi"/>
          <w:color w:val="000000"/>
          <w:sz w:val="22"/>
          <w:szCs w:val="22"/>
        </w:rPr>
        <w:t>4</w:t>
      </w:r>
      <w:r w:rsidRPr="002B3C0C">
        <w:rPr>
          <w:rFonts w:asciiTheme="minorHAnsi" w:hAnsiTheme="minorHAnsi" w:cstheme="minorHAnsi"/>
          <w:color w:val="000000"/>
          <w:sz w:val="22"/>
          <w:szCs w:val="22"/>
        </w:rPr>
        <w:t xml:space="preserve"> (i.e., July 1, 201</w:t>
      </w:r>
      <w:r w:rsidR="00FB0A29">
        <w:rPr>
          <w:rFonts w:asciiTheme="minorHAnsi" w:hAnsiTheme="minorHAnsi" w:cstheme="minorHAnsi"/>
          <w:color w:val="000000"/>
          <w:sz w:val="22"/>
          <w:szCs w:val="22"/>
        </w:rPr>
        <w:t>3</w:t>
      </w:r>
      <w:r w:rsidRPr="002B3C0C">
        <w:rPr>
          <w:rFonts w:asciiTheme="minorHAnsi" w:hAnsiTheme="minorHAnsi" w:cstheme="minorHAnsi"/>
          <w:color w:val="000000"/>
          <w:sz w:val="22"/>
          <w:szCs w:val="22"/>
        </w:rPr>
        <w:t xml:space="preserve"> to June 30, 201</w:t>
      </w:r>
      <w:r w:rsidR="00FB0A29">
        <w:rPr>
          <w:rFonts w:asciiTheme="minorHAnsi" w:hAnsiTheme="minorHAnsi" w:cstheme="minorHAnsi"/>
          <w:color w:val="000000"/>
          <w:sz w:val="22"/>
          <w:szCs w:val="22"/>
        </w:rPr>
        <w:t>4</w:t>
      </w:r>
      <w:r w:rsidRPr="002B3C0C">
        <w:rPr>
          <w:rFonts w:asciiTheme="minorHAnsi" w:hAnsiTheme="minorHAnsi" w:cstheme="minorHAnsi"/>
          <w:color w:val="000000"/>
          <w:sz w:val="22"/>
          <w:szCs w:val="22"/>
        </w:rPr>
        <w:t xml:space="preserve">). SESG </w:t>
      </w:r>
      <w:r w:rsidRPr="002B3C0C">
        <w:rPr>
          <w:rFonts w:asciiTheme="minorHAnsi" w:hAnsiTheme="minorHAnsi" w:cstheme="minorHAnsi"/>
          <w:color w:val="000000"/>
          <w:sz w:val="22"/>
        </w:rPr>
        <w:t xml:space="preserve">conducts </w:t>
      </w:r>
      <w:r w:rsidRPr="002B3C0C">
        <w:rPr>
          <w:rFonts w:asciiTheme="minorHAnsi" w:hAnsiTheme="minorHAnsi" w:cstheme="minorHAnsi"/>
          <w:color w:val="000000"/>
          <w:sz w:val="22"/>
          <w:szCs w:val="22"/>
        </w:rPr>
        <w:t xml:space="preserve">approximately </w:t>
      </w:r>
      <w:r w:rsidR="00FB0A29">
        <w:rPr>
          <w:rFonts w:asciiTheme="minorHAnsi" w:hAnsiTheme="minorHAnsi" w:cstheme="minorHAnsi"/>
          <w:color w:val="000000"/>
          <w:sz w:val="22"/>
          <w:szCs w:val="22"/>
        </w:rPr>
        <w:t>250-</w:t>
      </w:r>
      <w:r w:rsidRPr="002B3C0C">
        <w:rPr>
          <w:rFonts w:asciiTheme="minorHAnsi" w:hAnsiTheme="minorHAnsi" w:cstheme="minorHAnsi"/>
          <w:color w:val="000000"/>
          <w:sz w:val="22"/>
          <w:szCs w:val="22"/>
        </w:rPr>
        <w:t xml:space="preserve">300 </w:t>
      </w:r>
      <w:r w:rsidRPr="002B3C0C">
        <w:rPr>
          <w:rFonts w:asciiTheme="minorHAnsi" w:hAnsiTheme="minorHAnsi" w:cstheme="minorHAnsi"/>
          <w:color w:val="000000"/>
          <w:sz w:val="22"/>
        </w:rPr>
        <w:t xml:space="preserve">Program Reviews </w:t>
      </w:r>
      <w:r w:rsidRPr="002B3C0C">
        <w:rPr>
          <w:rFonts w:asciiTheme="minorHAnsi" w:hAnsiTheme="minorHAnsi" w:cstheme="minorHAnsi"/>
          <w:color w:val="000000"/>
          <w:sz w:val="22"/>
          <w:szCs w:val="22"/>
        </w:rPr>
        <w:t xml:space="preserve">annually of the approximately 6,000 eligible Title IV </w:t>
      </w:r>
      <w:r w:rsidRPr="002B3C0C">
        <w:rPr>
          <w:rFonts w:asciiTheme="minorHAnsi" w:hAnsiTheme="minorHAnsi" w:cstheme="minorHAnsi"/>
          <w:color w:val="000000"/>
          <w:sz w:val="22"/>
        </w:rPr>
        <w:t xml:space="preserve">schools </w:t>
      </w:r>
      <w:r w:rsidRPr="002B3C0C">
        <w:rPr>
          <w:rFonts w:asciiTheme="minorHAnsi" w:hAnsiTheme="minorHAnsi" w:cstheme="minorHAnsi"/>
          <w:color w:val="000000"/>
          <w:sz w:val="22"/>
          <w:szCs w:val="22"/>
        </w:rPr>
        <w:t xml:space="preserve">(i.e., approximately </w:t>
      </w:r>
      <w:r w:rsidR="00FB0A29">
        <w:rPr>
          <w:rFonts w:asciiTheme="minorHAnsi" w:hAnsiTheme="minorHAnsi" w:cstheme="minorHAnsi"/>
          <w:color w:val="000000"/>
          <w:sz w:val="22"/>
          <w:szCs w:val="22"/>
        </w:rPr>
        <w:t>4-</w:t>
      </w:r>
      <w:r w:rsidRPr="002B3C0C">
        <w:rPr>
          <w:rFonts w:asciiTheme="minorHAnsi" w:hAnsiTheme="minorHAnsi" w:cstheme="minorHAnsi"/>
          <w:color w:val="000000"/>
          <w:sz w:val="22"/>
          <w:szCs w:val="22"/>
        </w:rPr>
        <w:t>5.0%</w:t>
      </w:r>
      <w:r w:rsidRPr="002B3C0C">
        <w:rPr>
          <w:rFonts w:asciiTheme="minorHAnsi" w:hAnsiTheme="minorHAnsi" w:cstheme="minorHAnsi"/>
          <w:color w:val="000000"/>
          <w:sz w:val="22"/>
        </w:rPr>
        <w:t xml:space="preserve"> of schools </w:t>
      </w:r>
      <w:r w:rsidRPr="002B3C0C">
        <w:rPr>
          <w:rFonts w:asciiTheme="minorHAnsi" w:hAnsiTheme="minorHAnsi" w:cstheme="minorHAnsi"/>
          <w:color w:val="000000"/>
          <w:sz w:val="22"/>
          <w:szCs w:val="22"/>
        </w:rPr>
        <w:t>are</w:t>
      </w:r>
      <w:r w:rsidRPr="002B3C0C">
        <w:rPr>
          <w:rFonts w:asciiTheme="minorHAnsi" w:hAnsiTheme="minorHAnsi" w:cstheme="minorHAnsi"/>
          <w:color w:val="000000"/>
          <w:sz w:val="22"/>
        </w:rPr>
        <w:t xml:space="preserve"> reviewed</w:t>
      </w:r>
      <w:r w:rsidRPr="002B3C0C">
        <w:rPr>
          <w:rFonts w:asciiTheme="minorHAnsi" w:hAnsiTheme="minorHAnsi" w:cstheme="minorHAnsi"/>
          <w:color w:val="000000"/>
          <w:sz w:val="22"/>
          <w:szCs w:val="22"/>
        </w:rPr>
        <w:t>). Only a portion of the total Program Reviews performed annually are available for calculating the annual estimation of improper payments, as reports for only a portion of the reviews may be issued at the time of calculation of the improper payment estimates (i.e., not reached the draft program review report stage), and of those draft or final reports that have been issued, only a portion may be applicable to Pell or DL improper payments. For the FY</w:t>
      </w:r>
      <w:r w:rsidR="00A340F8">
        <w:rPr>
          <w:rFonts w:asciiTheme="minorHAnsi" w:hAnsiTheme="minorHAnsi" w:cstheme="minorHAnsi"/>
          <w:color w:val="000000"/>
          <w:sz w:val="22"/>
          <w:szCs w:val="22"/>
        </w:rPr>
        <w:t xml:space="preserve"> 20</w:t>
      </w:r>
      <w:r w:rsidRPr="002B3C0C">
        <w:rPr>
          <w:rFonts w:asciiTheme="minorHAnsi" w:hAnsiTheme="minorHAnsi" w:cstheme="minorHAnsi"/>
          <w:color w:val="000000"/>
          <w:sz w:val="22"/>
          <w:szCs w:val="22"/>
        </w:rPr>
        <w:t>1</w:t>
      </w:r>
      <w:r w:rsidR="006201B5">
        <w:rPr>
          <w:rFonts w:asciiTheme="minorHAnsi" w:hAnsiTheme="minorHAnsi" w:cstheme="minorHAnsi"/>
          <w:color w:val="000000"/>
          <w:sz w:val="22"/>
          <w:szCs w:val="22"/>
        </w:rPr>
        <w:t>6</w:t>
      </w:r>
      <w:r w:rsidRPr="002B3C0C">
        <w:rPr>
          <w:rFonts w:asciiTheme="minorHAnsi" w:hAnsiTheme="minorHAnsi" w:cstheme="minorHAnsi"/>
          <w:color w:val="000000"/>
          <w:sz w:val="22"/>
          <w:szCs w:val="22"/>
        </w:rPr>
        <w:t xml:space="preserve"> Pell and DL improper payment estimates, </w:t>
      </w:r>
      <w:r w:rsidR="00D95E64">
        <w:rPr>
          <w:rFonts w:asciiTheme="minorHAnsi" w:hAnsiTheme="minorHAnsi" w:cstheme="minorHAnsi"/>
          <w:color w:val="000000"/>
          <w:sz w:val="22"/>
          <w:szCs w:val="22"/>
        </w:rPr>
        <w:t>396</w:t>
      </w:r>
      <w:r w:rsidR="00D95E64" w:rsidRPr="002B3C0C">
        <w:rPr>
          <w:rFonts w:asciiTheme="minorHAnsi" w:hAnsiTheme="minorHAnsi" w:cstheme="minorHAnsi"/>
          <w:color w:val="000000"/>
          <w:sz w:val="22"/>
          <w:szCs w:val="22"/>
        </w:rPr>
        <w:t xml:space="preserve"> </w:t>
      </w:r>
      <w:r w:rsidRPr="002B3C0C">
        <w:rPr>
          <w:rFonts w:asciiTheme="minorHAnsi" w:hAnsiTheme="minorHAnsi" w:cstheme="minorHAnsi"/>
          <w:color w:val="000000"/>
          <w:sz w:val="22"/>
          <w:szCs w:val="22"/>
        </w:rPr>
        <w:t xml:space="preserve">and </w:t>
      </w:r>
      <w:r w:rsidR="00D95E64">
        <w:rPr>
          <w:rFonts w:asciiTheme="minorHAnsi" w:hAnsiTheme="minorHAnsi" w:cstheme="minorHAnsi"/>
          <w:color w:val="000000"/>
          <w:sz w:val="22"/>
          <w:szCs w:val="22"/>
        </w:rPr>
        <w:t>404</w:t>
      </w:r>
      <w:r w:rsidRPr="002B3C0C">
        <w:rPr>
          <w:rFonts w:asciiTheme="minorHAnsi" w:hAnsiTheme="minorHAnsi" w:cstheme="minorHAnsi"/>
          <w:color w:val="000000"/>
          <w:sz w:val="22"/>
          <w:szCs w:val="22"/>
        </w:rPr>
        <w:t xml:space="preserve"> Program Review Reports were available for inclusion in the sample, respectively. Those reports included in the sample selection for the Pell and DL improper payment estimates represent </w:t>
      </w:r>
      <w:r w:rsidRPr="007B0502">
        <w:rPr>
          <w:rFonts w:asciiTheme="minorHAnsi" w:hAnsiTheme="minorHAnsi" w:cstheme="minorHAnsi"/>
          <w:color w:val="000000"/>
          <w:sz w:val="22"/>
          <w:szCs w:val="22"/>
        </w:rPr>
        <w:t xml:space="preserve">reports </w:t>
      </w:r>
      <w:r w:rsidR="002D4335">
        <w:rPr>
          <w:rFonts w:asciiTheme="minorHAnsi" w:hAnsiTheme="minorHAnsi" w:cstheme="minorHAnsi"/>
          <w:color w:val="000000"/>
          <w:sz w:val="22"/>
          <w:szCs w:val="22"/>
        </w:rPr>
        <w:t xml:space="preserve">issued by the documentation acceptance cut-off date </w:t>
      </w:r>
      <w:r w:rsidRPr="007B0502">
        <w:rPr>
          <w:rFonts w:asciiTheme="minorHAnsi" w:hAnsiTheme="minorHAnsi" w:cstheme="minorHAnsi"/>
          <w:color w:val="000000"/>
          <w:sz w:val="22"/>
          <w:szCs w:val="22"/>
        </w:rPr>
        <w:t>that contain Pell and DL program disbursement data for the applicable award year</w:t>
      </w:r>
      <w:r w:rsidRPr="002B3C0C">
        <w:rPr>
          <w:rFonts w:asciiTheme="minorHAnsi" w:hAnsiTheme="minorHAnsi" w:cstheme="minorHAnsi"/>
          <w:color w:val="000000"/>
          <w:sz w:val="22"/>
          <w:szCs w:val="22"/>
        </w:rPr>
        <w:t xml:space="preserve">. </w:t>
      </w:r>
    </w:p>
    <w:p w14:paraId="34C83AD0" w14:textId="77777777" w:rsidR="00A910DA" w:rsidRDefault="00A910DA" w:rsidP="00A910DA">
      <w:pPr>
        <w:pStyle w:val="CommentText"/>
        <w:spacing w:after="0"/>
        <w:rPr>
          <w:rFonts w:ascii="Arial" w:hAnsi="Arial" w:cs="Arial"/>
          <w:color w:val="000000"/>
          <w:sz w:val="22"/>
          <w:szCs w:val="22"/>
        </w:rPr>
      </w:pPr>
    </w:p>
    <w:tbl>
      <w:tblPr>
        <w:tblStyle w:val="TableGrid"/>
        <w:tblW w:w="10080" w:type="dxa"/>
        <w:tblLook w:val="04A0" w:firstRow="1" w:lastRow="0" w:firstColumn="1" w:lastColumn="0" w:noHBand="0" w:noVBand="1"/>
      </w:tblPr>
      <w:tblGrid>
        <w:gridCol w:w="2016"/>
        <w:gridCol w:w="2016"/>
        <w:gridCol w:w="2016"/>
        <w:gridCol w:w="2016"/>
        <w:gridCol w:w="2016"/>
      </w:tblGrid>
      <w:tr w:rsidR="00A910DA" w14:paraId="0C69C165" w14:textId="77777777" w:rsidTr="002B3C0C">
        <w:trPr>
          <w:trHeight w:val="170"/>
        </w:trPr>
        <w:tc>
          <w:tcPr>
            <w:tcW w:w="10080" w:type="dxa"/>
            <w:gridSpan w:val="5"/>
            <w:shd w:val="clear" w:color="auto" w:fill="D9D9D9" w:themeFill="background1" w:themeFillShade="D9"/>
          </w:tcPr>
          <w:p w14:paraId="00851455" w14:textId="77777777" w:rsidR="00A910DA" w:rsidRPr="008041EE" w:rsidRDefault="00A910DA" w:rsidP="0034313C">
            <w:pPr>
              <w:autoSpaceDE w:val="0"/>
              <w:autoSpaceDN w:val="0"/>
              <w:adjustRightInd w:val="0"/>
              <w:spacing w:after="0" w:line="240" w:lineRule="auto"/>
              <w:jc w:val="center"/>
              <w:rPr>
                <w:rFonts w:asciiTheme="minorHAnsi" w:hAnsiTheme="minorHAnsi"/>
                <w:b/>
                <w:sz w:val="22"/>
              </w:rPr>
            </w:pPr>
            <w:r w:rsidRPr="008041EE">
              <w:rPr>
                <w:rFonts w:asciiTheme="minorHAnsi" w:hAnsiTheme="minorHAnsi"/>
                <w:b/>
                <w:color w:val="000000"/>
                <w:sz w:val="22"/>
              </w:rPr>
              <w:t>Pell Grant Program Sampling</w:t>
            </w:r>
          </w:p>
        </w:tc>
      </w:tr>
      <w:tr w:rsidR="00A910DA" w14:paraId="2F0D2051" w14:textId="77777777" w:rsidTr="0034313C">
        <w:trPr>
          <w:trHeight w:val="512"/>
        </w:trPr>
        <w:tc>
          <w:tcPr>
            <w:tcW w:w="2016" w:type="dxa"/>
            <w:shd w:val="clear" w:color="auto" w:fill="F2F2F2" w:themeFill="background1" w:themeFillShade="F2"/>
            <w:vAlign w:val="center"/>
          </w:tcPr>
          <w:p w14:paraId="502D023A" w14:textId="77777777" w:rsidR="00A910DA" w:rsidRPr="0034313C" w:rsidRDefault="00A910DA" w:rsidP="0034313C">
            <w:pPr>
              <w:autoSpaceDE w:val="0"/>
              <w:autoSpaceDN w:val="0"/>
              <w:adjustRightInd w:val="0"/>
              <w:spacing w:after="0" w:line="240" w:lineRule="auto"/>
              <w:jc w:val="center"/>
              <w:rPr>
                <w:rFonts w:asciiTheme="minorHAnsi" w:hAnsiTheme="minorHAnsi" w:cs="Arial"/>
                <w:b/>
                <w:bCs/>
                <w:color w:val="000000"/>
                <w:szCs w:val="20"/>
              </w:rPr>
            </w:pPr>
            <w:r w:rsidRPr="0034313C">
              <w:rPr>
                <w:rFonts w:asciiTheme="minorHAnsi" w:hAnsiTheme="minorHAnsi" w:cs="Arial"/>
                <w:b/>
                <w:bCs/>
                <w:szCs w:val="20"/>
              </w:rPr>
              <w:t>Payment Type</w:t>
            </w:r>
          </w:p>
        </w:tc>
        <w:tc>
          <w:tcPr>
            <w:tcW w:w="2016" w:type="dxa"/>
            <w:shd w:val="clear" w:color="auto" w:fill="F2F2F2" w:themeFill="background1" w:themeFillShade="F2"/>
            <w:vAlign w:val="center"/>
          </w:tcPr>
          <w:p w14:paraId="69BB5BCC" w14:textId="77777777" w:rsidR="00A910DA" w:rsidRPr="0034313C" w:rsidRDefault="00A910DA" w:rsidP="0034313C">
            <w:pPr>
              <w:autoSpaceDE w:val="0"/>
              <w:autoSpaceDN w:val="0"/>
              <w:adjustRightInd w:val="0"/>
              <w:spacing w:after="0" w:line="240" w:lineRule="auto"/>
              <w:jc w:val="center"/>
              <w:rPr>
                <w:rFonts w:asciiTheme="minorHAnsi" w:hAnsiTheme="minorHAnsi" w:cs="Arial"/>
                <w:b/>
                <w:bCs/>
                <w:szCs w:val="20"/>
              </w:rPr>
            </w:pPr>
            <w:r w:rsidRPr="0034313C">
              <w:rPr>
                <w:rFonts w:asciiTheme="minorHAnsi" w:hAnsiTheme="minorHAnsi" w:cs="Arial"/>
                <w:b/>
                <w:bCs/>
                <w:szCs w:val="20"/>
              </w:rPr>
              <w:t>Sampling Methodology</w:t>
            </w:r>
          </w:p>
        </w:tc>
        <w:tc>
          <w:tcPr>
            <w:tcW w:w="2016" w:type="dxa"/>
            <w:shd w:val="clear" w:color="auto" w:fill="F2F2F2" w:themeFill="background1" w:themeFillShade="F2"/>
            <w:vAlign w:val="center"/>
          </w:tcPr>
          <w:p w14:paraId="53BD98D8" w14:textId="77777777" w:rsidR="00A910DA" w:rsidRPr="0034313C" w:rsidRDefault="00A910DA" w:rsidP="0034313C">
            <w:pPr>
              <w:autoSpaceDE w:val="0"/>
              <w:autoSpaceDN w:val="0"/>
              <w:adjustRightInd w:val="0"/>
              <w:spacing w:after="0" w:line="240" w:lineRule="auto"/>
              <w:jc w:val="center"/>
              <w:rPr>
                <w:rFonts w:asciiTheme="minorHAnsi" w:hAnsiTheme="minorHAnsi" w:cs="Arial"/>
                <w:b/>
                <w:bCs/>
                <w:color w:val="000000"/>
                <w:szCs w:val="20"/>
              </w:rPr>
            </w:pPr>
            <w:r w:rsidRPr="0034313C">
              <w:rPr>
                <w:rFonts w:asciiTheme="minorHAnsi" w:hAnsiTheme="minorHAnsi" w:cs="Arial"/>
                <w:b/>
                <w:bCs/>
                <w:szCs w:val="20"/>
              </w:rPr>
              <w:t>Extrapolation Methodology</w:t>
            </w:r>
          </w:p>
        </w:tc>
        <w:tc>
          <w:tcPr>
            <w:tcW w:w="2016" w:type="dxa"/>
            <w:shd w:val="clear" w:color="auto" w:fill="F2F2F2" w:themeFill="background1" w:themeFillShade="F2"/>
            <w:vAlign w:val="center"/>
          </w:tcPr>
          <w:p w14:paraId="536B870A" w14:textId="1A6B01F1" w:rsidR="00A910DA" w:rsidRPr="0034313C" w:rsidRDefault="00A910DA" w:rsidP="0034313C">
            <w:pPr>
              <w:autoSpaceDE w:val="0"/>
              <w:autoSpaceDN w:val="0"/>
              <w:adjustRightInd w:val="0"/>
              <w:spacing w:after="0" w:line="240" w:lineRule="auto"/>
              <w:jc w:val="center"/>
              <w:rPr>
                <w:rFonts w:asciiTheme="minorHAnsi" w:hAnsiTheme="minorHAnsi" w:cs="Arial"/>
                <w:b/>
                <w:bCs/>
                <w:color w:val="000000"/>
                <w:szCs w:val="20"/>
              </w:rPr>
            </w:pPr>
            <w:r w:rsidRPr="0034313C">
              <w:rPr>
                <w:rFonts w:asciiTheme="minorHAnsi" w:hAnsiTheme="minorHAnsi" w:cs="Arial"/>
                <w:b/>
                <w:bCs/>
                <w:szCs w:val="20"/>
              </w:rPr>
              <w:t>Estimated Number of Grant Recipients</w:t>
            </w:r>
            <w:r w:rsidRPr="0034313C">
              <w:rPr>
                <w:rStyle w:val="FootnoteReference"/>
                <w:rFonts w:asciiTheme="minorHAnsi" w:hAnsiTheme="minorHAnsi" w:cs="Arial"/>
                <w:bCs/>
                <w:color w:val="000000"/>
                <w:szCs w:val="20"/>
              </w:rPr>
              <w:footnoteReference w:id="1"/>
            </w:r>
          </w:p>
        </w:tc>
        <w:tc>
          <w:tcPr>
            <w:tcW w:w="2016" w:type="dxa"/>
            <w:shd w:val="clear" w:color="auto" w:fill="F2F2F2" w:themeFill="background1" w:themeFillShade="F2"/>
            <w:vAlign w:val="center"/>
          </w:tcPr>
          <w:p w14:paraId="5F287B40" w14:textId="77777777" w:rsidR="00A910DA" w:rsidRPr="0034313C" w:rsidRDefault="00A910DA" w:rsidP="0034313C">
            <w:pPr>
              <w:autoSpaceDE w:val="0"/>
              <w:autoSpaceDN w:val="0"/>
              <w:adjustRightInd w:val="0"/>
              <w:spacing w:after="0" w:line="240" w:lineRule="auto"/>
              <w:jc w:val="center"/>
              <w:rPr>
                <w:rFonts w:asciiTheme="minorHAnsi" w:hAnsiTheme="minorHAnsi" w:cs="Arial"/>
                <w:b/>
                <w:bCs/>
                <w:color w:val="000000"/>
                <w:szCs w:val="20"/>
              </w:rPr>
            </w:pPr>
            <w:r w:rsidRPr="0034313C">
              <w:rPr>
                <w:rFonts w:asciiTheme="minorHAnsi" w:hAnsiTheme="minorHAnsi" w:cs="Arial"/>
                <w:b/>
                <w:bCs/>
                <w:szCs w:val="20"/>
              </w:rPr>
              <w:t>Number of Institutions</w:t>
            </w:r>
            <w:r w:rsidRPr="0034313C">
              <w:rPr>
                <w:rStyle w:val="FootnoteReference"/>
                <w:rFonts w:asciiTheme="minorHAnsi" w:hAnsiTheme="minorHAnsi" w:cs="Arial"/>
                <w:bCs/>
                <w:szCs w:val="20"/>
              </w:rPr>
              <w:footnoteReference w:id="2"/>
            </w:r>
          </w:p>
        </w:tc>
      </w:tr>
      <w:tr w:rsidR="00A910DA" w14:paraId="5F5F1AF4" w14:textId="77777777" w:rsidTr="0034313C">
        <w:trPr>
          <w:trHeight w:val="256"/>
        </w:trPr>
        <w:tc>
          <w:tcPr>
            <w:tcW w:w="2016" w:type="dxa"/>
            <w:vAlign w:val="center"/>
          </w:tcPr>
          <w:p w14:paraId="259D83A4" w14:textId="77777777" w:rsidR="00A910DA" w:rsidRPr="0034313C" w:rsidRDefault="00A910DA" w:rsidP="0034313C">
            <w:pPr>
              <w:autoSpaceDE w:val="0"/>
              <w:autoSpaceDN w:val="0"/>
              <w:adjustRightInd w:val="0"/>
              <w:spacing w:after="0" w:line="240" w:lineRule="auto"/>
              <w:jc w:val="center"/>
              <w:rPr>
                <w:rFonts w:asciiTheme="minorHAnsi" w:hAnsiTheme="minorHAnsi" w:cs="Arial"/>
                <w:bCs/>
                <w:color w:val="000000"/>
                <w:szCs w:val="20"/>
              </w:rPr>
            </w:pPr>
            <w:r w:rsidRPr="0034313C">
              <w:rPr>
                <w:rFonts w:asciiTheme="minorHAnsi" w:hAnsiTheme="minorHAnsi" w:cs="Arial"/>
                <w:bCs/>
                <w:szCs w:val="20"/>
              </w:rPr>
              <w:t>Originations</w:t>
            </w:r>
          </w:p>
        </w:tc>
        <w:tc>
          <w:tcPr>
            <w:tcW w:w="2016" w:type="dxa"/>
            <w:vAlign w:val="center"/>
          </w:tcPr>
          <w:p w14:paraId="26CFF79B" w14:textId="77777777" w:rsidR="00A910DA" w:rsidRPr="0034313C" w:rsidRDefault="00A910DA" w:rsidP="0034313C">
            <w:pPr>
              <w:autoSpaceDE w:val="0"/>
              <w:autoSpaceDN w:val="0"/>
              <w:adjustRightInd w:val="0"/>
              <w:spacing w:after="0" w:line="240" w:lineRule="auto"/>
              <w:jc w:val="center"/>
              <w:rPr>
                <w:rFonts w:asciiTheme="minorHAnsi" w:hAnsiTheme="minorHAnsi" w:cs="Arial"/>
                <w:bCs/>
                <w:szCs w:val="20"/>
              </w:rPr>
            </w:pPr>
            <w:r w:rsidRPr="0034313C">
              <w:rPr>
                <w:rFonts w:asciiTheme="minorHAnsi" w:hAnsiTheme="minorHAnsi" w:cs="Arial"/>
                <w:bCs/>
                <w:szCs w:val="20"/>
              </w:rPr>
              <w:t>Risk-Based</w:t>
            </w:r>
          </w:p>
        </w:tc>
        <w:tc>
          <w:tcPr>
            <w:tcW w:w="2016" w:type="dxa"/>
            <w:vAlign w:val="center"/>
          </w:tcPr>
          <w:p w14:paraId="135AC4A9" w14:textId="77777777" w:rsidR="00A910DA" w:rsidRPr="0034313C" w:rsidRDefault="00A910DA" w:rsidP="0034313C">
            <w:pPr>
              <w:autoSpaceDE w:val="0"/>
              <w:autoSpaceDN w:val="0"/>
              <w:adjustRightInd w:val="0"/>
              <w:spacing w:after="0" w:line="240" w:lineRule="auto"/>
              <w:jc w:val="center"/>
              <w:rPr>
                <w:rFonts w:asciiTheme="minorHAnsi" w:hAnsiTheme="minorHAnsi" w:cs="Arial"/>
                <w:bCs/>
                <w:color w:val="000000"/>
                <w:szCs w:val="20"/>
              </w:rPr>
            </w:pPr>
            <w:r w:rsidRPr="0034313C">
              <w:rPr>
                <w:rFonts w:asciiTheme="minorHAnsi" w:hAnsiTheme="minorHAnsi" w:cs="Arial"/>
                <w:bCs/>
                <w:szCs w:val="20"/>
              </w:rPr>
              <w:t>Two-Stage Ratio Estimator</w:t>
            </w:r>
          </w:p>
        </w:tc>
        <w:tc>
          <w:tcPr>
            <w:tcW w:w="2016" w:type="dxa"/>
            <w:vAlign w:val="center"/>
          </w:tcPr>
          <w:p w14:paraId="1C374896" w14:textId="3A50D488" w:rsidR="00A910DA" w:rsidRPr="0034313C" w:rsidRDefault="00A910DA" w:rsidP="0034313C">
            <w:pPr>
              <w:autoSpaceDE w:val="0"/>
              <w:autoSpaceDN w:val="0"/>
              <w:adjustRightInd w:val="0"/>
              <w:spacing w:after="0" w:line="240" w:lineRule="auto"/>
              <w:jc w:val="center"/>
              <w:rPr>
                <w:rFonts w:asciiTheme="minorHAnsi" w:hAnsiTheme="minorHAnsi" w:cs="Arial"/>
                <w:bCs/>
                <w:color w:val="000000"/>
                <w:szCs w:val="20"/>
              </w:rPr>
            </w:pPr>
            <w:r w:rsidRPr="0034313C">
              <w:rPr>
                <w:rFonts w:asciiTheme="minorHAnsi" w:hAnsiTheme="minorHAnsi" w:cs="Arial"/>
                <w:bCs/>
                <w:color w:val="000000"/>
                <w:szCs w:val="20"/>
              </w:rPr>
              <w:t>8,</w:t>
            </w:r>
            <w:r w:rsidR="009A4CC4" w:rsidRPr="0034313C">
              <w:rPr>
                <w:rFonts w:asciiTheme="minorHAnsi" w:hAnsiTheme="minorHAnsi" w:cs="Arial"/>
                <w:bCs/>
                <w:color w:val="000000"/>
                <w:szCs w:val="20"/>
              </w:rPr>
              <w:t>661</w:t>
            </w:r>
            <w:r w:rsidRPr="0034313C">
              <w:rPr>
                <w:rFonts w:asciiTheme="minorHAnsi" w:hAnsiTheme="minorHAnsi" w:cs="Arial"/>
                <w:bCs/>
                <w:color w:val="000000"/>
                <w:szCs w:val="20"/>
              </w:rPr>
              <w:t>,</w:t>
            </w:r>
            <w:r w:rsidR="009A4CC4" w:rsidRPr="0034313C">
              <w:rPr>
                <w:rFonts w:asciiTheme="minorHAnsi" w:hAnsiTheme="minorHAnsi" w:cs="Arial"/>
                <w:bCs/>
                <w:color w:val="000000"/>
                <w:szCs w:val="20"/>
              </w:rPr>
              <w:t>118</w:t>
            </w:r>
          </w:p>
        </w:tc>
        <w:tc>
          <w:tcPr>
            <w:tcW w:w="2016" w:type="dxa"/>
            <w:vAlign w:val="center"/>
          </w:tcPr>
          <w:p w14:paraId="0FE85705" w14:textId="49F63295" w:rsidR="00A910DA" w:rsidRPr="0034313C" w:rsidRDefault="00A910DA" w:rsidP="0034313C">
            <w:pPr>
              <w:autoSpaceDE w:val="0"/>
              <w:autoSpaceDN w:val="0"/>
              <w:adjustRightInd w:val="0"/>
              <w:spacing w:after="0" w:line="240" w:lineRule="auto"/>
              <w:jc w:val="center"/>
              <w:rPr>
                <w:rFonts w:asciiTheme="minorHAnsi" w:hAnsiTheme="minorHAnsi" w:cs="Arial"/>
                <w:bCs/>
                <w:color w:val="000000"/>
                <w:szCs w:val="20"/>
              </w:rPr>
            </w:pPr>
            <w:r w:rsidRPr="0034313C">
              <w:rPr>
                <w:rFonts w:asciiTheme="minorHAnsi" w:hAnsiTheme="minorHAnsi" w:cs="Arial"/>
                <w:bCs/>
                <w:color w:val="000000"/>
                <w:szCs w:val="20"/>
              </w:rPr>
              <w:t>5,</w:t>
            </w:r>
            <w:r w:rsidR="001718C3">
              <w:rPr>
                <w:rFonts w:asciiTheme="minorHAnsi" w:hAnsiTheme="minorHAnsi" w:cs="Arial"/>
                <w:bCs/>
                <w:color w:val="000000"/>
                <w:szCs w:val="20"/>
              </w:rPr>
              <w:t>435</w:t>
            </w:r>
          </w:p>
        </w:tc>
      </w:tr>
    </w:tbl>
    <w:p w14:paraId="5E99EF0F" w14:textId="77777777" w:rsidR="00A910DA" w:rsidRDefault="00A910DA" w:rsidP="00A910DA">
      <w:pPr>
        <w:pStyle w:val="CommentText"/>
        <w:spacing w:after="0"/>
        <w:rPr>
          <w:rFonts w:ascii="Arial" w:hAnsi="Arial" w:cs="Arial"/>
          <w:color w:val="000000"/>
          <w:sz w:val="22"/>
          <w:szCs w:val="22"/>
        </w:rPr>
      </w:pPr>
    </w:p>
    <w:p w14:paraId="52750C48" w14:textId="77777777" w:rsidR="00A910DA" w:rsidRPr="002B3C0C" w:rsidRDefault="00A910DA" w:rsidP="00A910DA">
      <w:pPr>
        <w:rPr>
          <w:rFonts w:asciiTheme="minorHAnsi" w:hAnsiTheme="minorHAnsi" w:cstheme="minorHAnsi"/>
          <w:color w:val="000000"/>
          <w:sz w:val="22"/>
        </w:rPr>
      </w:pPr>
      <w:r w:rsidRPr="002B3C0C">
        <w:rPr>
          <w:rFonts w:asciiTheme="minorHAnsi" w:hAnsiTheme="minorHAnsi" w:cstheme="minorHAnsi"/>
          <w:color w:val="000000"/>
          <w:sz w:val="22"/>
        </w:rPr>
        <w:t xml:space="preserve">Per SESG Program Review Procedures, Program Reviews can be initiated by FSA management as a result of one or more of the following: </w:t>
      </w:r>
    </w:p>
    <w:p w14:paraId="6F650D54" w14:textId="77777777" w:rsidR="00A910DA" w:rsidRPr="002B3C0C" w:rsidRDefault="00A910DA" w:rsidP="00A910DA">
      <w:pPr>
        <w:pStyle w:val="ListParagraph"/>
        <w:numPr>
          <w:ilvl w:val="0"/>
          <w:numId w:val="1"/>
        </w:numPr>
        <w:spacing w:after="0" w:line="240" w:lineRule="auto"/>
        <w:contextualSpacing w:val="0"/>
        <w:rPr>
          <w:rFonts w:asciiTheme="minorHAnsi" w:hAnsiTheme="minorHAnsi" w:cstheme="minorHAnsi"/>
          <w:color w:val="000000"/>
          <w:sz w:val="22"/>
        </w:rPr>
      </w:pPr>
      <w:r w:rsidRPr="002B3C0C">
        <w:rPr>
          <w:rFonts w:asciiTheme="minorHAnsi" w:hAnsiTheme="minorHAnsi" w:cstheme="minorHAnsi"/>
          <w:color w:val="000000"/>
          <w:sz w:val="22"/>
        </w:rPr>
        <w:t xml:space="preserve">Compliance Initiatives / Management Mandates </w:t>
      </w:r>
    </w:p>
    <w:p w14:paraId="12BD544B" w14:textId="77777777" w:rsidR="00A910DA" w:rsidRPr="002B3C0C" w:rsidRDefault="00A910DA" w:rsidP="00A910DA">
      <w:pPr>
        <w:pStyle w:val="ListParagraph"/>
        <w:numPr>
          <w:ilvl w:val="0"/>
          <w:numId w:val="1"/>
        </w:numPr>
        <w:spacing w:after="0" w:line="240" w:lineRule="auto"/>
        <w:contextualSpacing w:val="0"/>
        <w:rPr>
          <w:rFonts w:asciiTheme="minorHAnsi" w:hAnsiTheme="minorHAnsi" w:cstheme="minorHAnsi"/>
          <w:color w:val="000000"/>
          <w:sz w:val="22"/>
        </w:rPr>
      </w:pPr>
      <w:r w:rsidRPr="002B3C0C">
        <w:rPr>
          <w:rFonts w:asciiTheme="minorHAnsi" w:hAnsiTheme="minorHAnsi" w:cstheme="minorHAnsi"/>
          <w:color w:val="000000"/>
          <w:sz w:val="22"/>
        </w:rPr>
        <w:t xml:space="preserve">Referrals or Complaints </w:t>
      </w:r>
    </w:p>
    <w:p w14:paraId="04576FA1" w14:textId="77777777" w:rsidR="00A910DA" w:rsidRPr="002B3C0C" w:rsidRDefault="00A910DA" w:rsidP="00A910DA">
      <w:pPr>
        <w:pStyle w:val="ListParagraph"/>
        <w:numPr>
          <w:ilvl w:val="0"/>
          <w:numId w:val="1"/>
        </w:numPr>
        <w:spacing w:after="0" w:line="240" w:lineRule="auto"/>
        <w:contextualSpacing w:val="0"/>
        <w:rPr>
          <w:rFonts w:asciiTheme="minorHAnsi" w:hAnsiTheme="minorHAnsi" w:cstheme="minorHAnsi"/>
          <w:color w:val="000000"/>
          <w:sz w:val="22"/>
        </w:rPr>
      </w:pPr>
      <w:r w:rsidRPr="002B3C0C">
        <w:rPr>
          <w:rFonts w:asciiTheme="minorHAnsi" w:hAnsiTheme="minorHAnsi" w:cstheme="minorHAnsi"/>
          <w:color w:val="000000"/>
          <w:sz w:val="22"/>
        </w:rPr>
        <w:t xml:space="preserve">Comprehensive Compliance Review (CCR) </w:t>
      </w:r>
    </w:p>
    <w:p w14:paraId="296237AD" w14:textId="77777777" w:rsidR="00A910DA" w:rsidRPr="002B3C0C" w:rsidRDefault="00A910DA" w:rsidP="00A910DA">
      <w:pPr>
        <w:pStyle w:val="ListParagraph"/>
        <w:numPr>
          <w:ilvl w:val="0"/>
          <w:numId w:val="1"/>
        </w:numPr>
        <w:spacing w:after="0" w:line="240" w:lineRule="auto"/>
        <w:contextualSpacing w:val="0"/>
        <w:rPr>
          <w:rFonts w:asciiTheme="minorHAnsi" w:hAnsiTheme="minorHAnsi" w:cstheme="minorHAnsi"/>
          <w:color w:val="000000"/>
          <w:sz w:val="22"/>
        </w:rPr>
      </w:pPr>
      <w:r w:rsidRPr="002B3C0C">
        <w:rPr>
          <w:rFonts w:asciiTheme="minorHAnsi" w:hAnsiTheme="minorHAnsi" w:cstheme="minorHAnsi"/>
          <w:color w:val="000000"/>
          <w:sz w:val="22"/>
        </w:rPr>
        <w:t xml:space="preserve">Self-Reported Violations </w:t>
      </w:r>
    </w:p>
    <w:p w14:paraId="37FEA690" w14:textId="77777777" w:rsidR="00A910DA" w:rsidRPr="002B3C0C" w:rsidRDefault="00A910DA" w:rsidP="00A910DA">
      <w:pPr>
        <w:pStyle w:val="ListParagraph"/>
        <w:numPr>
          <w:ilvl w:val="0"/>
          <w:numId w:val="1"/>
        </w:numPr>
        <w:spacing w:after="0" w:line="240" w:lineRule="auto"/>
        <w:contextualSpacing w:val="0"/>
        <w:rPr>
          <w:rFonts w:asciiTheme="minorHAnsi" w:hAnsiTheme="minorHAnsi" w:cstheme="minorHAnsi"/>
          <w:sz w:val="22"/>
        </w:rPr>
      </w:pPr>
      <w:r w:rsidRPr="002B3C0C">
        <w:rPr>
          <w:rFonts w:asciiTheme="minorHAnsi" w:hAnsiTheme="minorHAnsi" w:cstheme="minorHAnsi"/>
          <w:color w:val="000000"/>
          <w:sz w:val="22"/>
        </w:rPr>
        <w:t>Compliance Assurance Review (CAR)</w:t>
      </w:r>
    </w:p>
    <w:p w14:paraId="3F48BD6D" w14:textId="77777777" w:rsidR="00A910DA" w:rsidRPr="002B3C0C" w:rsidRDefault="00A910DA" w:rsidP="00A910DA">
      <w:pPr>
        <w:pStyle w:val="CommentText"/>
        <w:spacing w:after="0"/>
        <w:rPr>
          <w:rFonts w:asciiTheme="minorHAnsi" w:hAnsiTheme="minorHAnsi" w:cstheme="minorHAnsi"/>
          <w:sz w:val="22"/>
        </w:rPr>
      </w:pPr>
    </w:p>
    <w:p w14:paraId="6497D3A4" w14:textId="04FF5B6B" w:rsidR="00A910DA" w:rsidRPr="002B3C0C" w:rsidRDefault="00A910DA" w:rsidP="00A910DA">
      <w:pPr>
        <w:pStyle w:val="CommentText"/>
        <w:rPr>
          <w:rFonts w:asciiTheme="minorHAnsi" w:hAnsiTheme="minorHAnsi" w:cstheme="minorHAnsi"/>
          <w:color w:val="000000"/>
          <w:sz w:val="22"/>
          <w:szCs w:val="22"/>
        </w:rPr>
      </w:pPr>
      <w:r w:rsidRPr="002B3C0C">
        <w:rPr>
          <w:rFonts w:asciiTheme="minorHAnsi" w:hAnsiTheme="minorHAnsi" w:cstheme="minorHAnsi"/>
          <w:color w:val="000000"/>
          <w:sz w:val="22"/>
          <w:szCs w:val="22"/>
        </w:rPr>
        <w:t>For purposes of calculating the improper payment estimates for FY 201</w:t>
      </w:r>
      <w:r w:rsidR="007B0502">
        <w:rPr>
          <w:rFonts w:asciiTheme="minorHAnsi" w:hAnsiTheme="minorHAnsi" w:cstheme="minorHAnsi"/>
          <w:color w:val="000000"/>
          <w:sz w:val="22"/>
          <w:szCs w:val="22"/>
        </w:rPr>
        <w:t>6</w:t>
      </w:r>
      <w:r w:rsidRPr="002B3C0C">
        <w:rPr>
          <w:rFonts w:asciiTheme="minorHAnsi" w:hAnsiTheme="minorHAnsi" w:cstheme="minorHAnsi"/>
          <w:color w:val="000000"/>
          <w:sz w:val="22"/>
          <w:szCs w:val="22"/>
        </w:rPr>
        <w:t>, the schools identified from the five Program Review triggers were treated as separate strata and grouped as follows:</w:t>
      </w:r>
    </w:p>
    <w:p w14:paraId="2F9F1AA3" w14:textId="77777777" w:rsidR="00A910DA" w:rsidRPr="002B3C0C" w:rsidRDefault="00A910DA" w:rsidP="00A910DA">
      <w:pPr>
        <w:pStyle w:val="CommentText"/>
        <w:numPr>
          <w:ilvl w:val="0"/>
          <w:numId w:val="1"/>
        </w:numPr>
        <w:spacing w:after="0"/>
        <w:rPr>
          <w:rFonts w:asciiTheme="minorHAnsi" w:hAnsiTheme="minorHAnsi" w:cstheme="minorHAnsi"/>
          <w:color w:val="000000"/>
          <w:sz w:val="22"/>
          <w:szCs w:val="22"/>
        </w:rPr>
      </w:pPr>
      <w:r w:rsidRPr="002B3C0C">
        <w:rPr>
          <w:rFonts w:asciiTheme="minorHAnsi" w:hAnsiTheme="minorHAnsi" w:cstheme="minorHAnsi"/>
          <w:color w:val="000000"/>
          <w:sz w:val="22"/>
          <w:szCs w:val="22"/>
        </w:rPr>
        <w:t>Compliance Initiatives;</w:t>
      </w:r>
    </w:p>
    <w:p w14:paraId="05CDB3D0" w14:textId="77777777" w:rsidR="00A910DA" w:rsidRPr="002B3C0C" w:rsidRDefault="00A910DA" w:rsidP="00A910DA">
      <w:pPr>
        <w:pStyle w:val="CommentText"/>
        <w:numPr>
          <w:ilvl w:val="0"/>
          <w:numId w:val="1"/>
        </w:numPr>
        <w:spacing w:after="0"/>
        <w:rPr>
          <w:rFonts w:asciiTheme="minorHAnsi" w:hAnsiTheme="minorHAnsi" w:cstheme="minorHAnsi"/>
          <w:color w:val="000000"/>
          <w:sz w:val="22"/>
          <w:szCs w:val="22"/>
        </w:rPr>
      </w:pPr>
      <w:r w:rsidRPr="002B3C0C">
        <w:rPr>
          <w:rFonts w:asciiTheme="minorHAnsi" w:hAnsiTheme="minorHAnsi" w:cstheme="minorHAnsi"/>
          <w:color w:val="000000"/>
          <w:sz w:val="22"/>
          <w:szCs w:val="22"/>
        </w:rPr>
        <w:t>CARs; and</w:t>
      </w:r>
    </w:p>
    <w:p w14:paraId="3F77E8D0" w14:textId="77777777" w:rsidR="00A910DA" w:rsidRPr="002B3C0C" w:rsidRDefault="00A910DA" w:rsidP="00A910DA">
      <w:pPr>
        <w:pStyle w:val="CommentText"/>
        <w:numPr>
          <w:ilvl w:val="0"/>
          <w:numId w:val="1"/>
        </w:numPr>
        <w:spacing w:after="0"/>
        <w:rPr>
          <w:rFonts w:asciiTheme="minorHAnsi" w:hAnsiTheme="minorHAnsi" w:cstheme="minorHAnsi"/>
          <w:color w:val="000000"/>
          <w:sz w:val="22"/>
          <w:szCs w:val="22"/>
        </w:rPr>
      </w:pPr>
      <w:r w:rsidRPr="002B3C0C">
        <w:rPr>
          <w:rFonts w:asciiTheme="minorHAnsi" w:hAnsiTheme="minorHAnsi" w:cstheme="minorHAnsi"/>
          <w:color w:val="000000"/>
          <w:sz w:val="22"/>
          <w:szCs w:val="22"/>
        </w:rPr>
        <w:t>CCR, Referrals, Complaints, and Self-Reported Violations.</w:t>
      </w:r>
    </w:p>
    <w:p w14:paraId="762B3A84" w14:textId="77777777" w:rsidR="00A910DA" w:rsidRPr="002B3C0C" w:rsidRDefault="00A910DA" w:rsidP="00A910DA">
      <w:pPr>
        <w:autoSpaceDE w:val="0"/>
        <w:autoSpaceDN w:val="0"/>
        <w:adjustRightInd w:val="0"/>
        <w:spacing w:after="0" w:line="240" w:lineRule="auto"/>
        <w:rPr>
          <w:rFonts w:asciiTheme="minorHAnsi" w:hAnsiTheme="minorHAnsi" w:cstheme="minorHAnsi"/>
          <w:color w:val="000000"/>
          <w:sz w:val="22"/>
        </w:rPr>
      </w:pPr>
    </w:p>
    <w:p w14:paraId="7370DAAD" w14:textId="77777777" w:rsidR="00E41487" w:rsidRDefault="00A910DA" w:rsidP="00A910DA">
      <w:pPr>
        <w:pStyle w:val="CommentText"/>
        <w:spacing w:after="0"/>
        <w:rPr>
          <w:rFonts w:asciiTheme="minorHAnsi" w:hAnsiTheme="minorHAnsi" w:cstheme="minorHAnsi"/>
          <w:color w:val="000000"/>
          <w:sz w:val="22"/>
        </w:rPr>
      </w:pPr>
      <w:r w:rsidRPr="002B3C0C">
        <w:rPr>
          <w:rFonts w:asciiTheme="minorHAnsi" w:hAnsiTheme="minorHAnsi" w:cstheme="minorHAnsi"/>
          <w:color w:val="000000"/>
          <w:sz w:val="22"/>
        </w:rPr>
        <w:t xml:space="preserve">Each population (Compliance Initiatives, CARs, and other Program Review triggers) were treated as a separate stratum. A selection of schools was made from each stratum, based on instructions from SESG </w:t>
      </w:r>
      <w:r w:rsidRPr="002B3C0C">
        <w:rPr>
          <w:rFonts w:asciiTheme="minorHAnsi" w:hAnsiTheme="minorHAnsi" w:cstheme="minorHAnsi"/>
          <w:color w:val="000000"/>
          <w:sz w:val="22"/>
        </w:rPr>
        <w:lastRenderedPageBreak/>
        <w:t xml:space="preserve">Management. The stratification of schools based on Program Review triggers is intended to provide sample representation of the various risk-based groupings. </w:t>
      </w:r>
    </w:p>
    <w:p w14:paraId="4B822173" w14:textId="77777777" w:rsidR="00E41487" w:rsidRDefault="00E41487" w:rsidP="00A910DA">
      <w:pPr>
        <w:pStyle w:val="CommentText"/>
        <w:spacing w:after="0"/>
        <w:rPr>
          <w:rFonts w:asciiTheme="minorHAnsi" w:hAnsiTheme="minorHAnsi" w:cstheme="minorHAnsi"/>
          <w:color w:val="000000"/>
          <w:sz w:val="22"/>
        </w:rPr>
      </w:pPr>
    </w:p>
    <w:p w14:paraId="5A4A0354" w14:textId="77777777" w:rsidR="007B0502" w:rsidRDefault="007B0502" w:rsidP="0034313C">
      <w:pPr>
        <w:spacing w:after="0" w:line="240" w:lineRule="auto"/>
        <w:rPr>
          <w:rFonts w:asciiTheme="minorHAnsi" w:hAnsiTheme="minorHAnsi" w:cstheme="minorHAnsi"/>
          <w:color w:val="000000"/>
          <w:sz w:val="22"/>
          <w:szCs w:val="20"/>
        </w:rPr>
      </w:pPr>
      <w:r w:rsidRPr="007B0502">
        <w:rPr>
          <w:rFonts w:asciiTheme="minorHAnsi" w:hAnsiTheme="minorHAnsi" w:cstheme="minorHAnsi"/>
          <w:color w:val="000000"/>
          <w:sz w:val="22"/>
          <w:szCs w:val="20"/>
        </w:rPr>
        <w:t>The schools included in the review and assigned to the Compliance Initiative and Other Reasons strata are manually selected into the sample based on their Program Review risk characteristics (that is, the selection and inclusion of these school is not random). The schools included in the CAR stratum are randomly selected for inclusion and review.</w:t>
      </w:r>
    </w:p>
    <w:p w14:paraId="646EA373" w14:textId="77777777" w:rsidR="0034313C" w:rsidRPr="007B0502" w:rsidRDefault="0034313C" w:rsidP="0034313C">
      <w:pPr>
        <w:spacing w:after="0" w:line="240" w:lineRule="auto"/>
        <w:rPr>
          <w:rFonts w:asciiTheme="minorHAnsi" w:hAnsiTheme="minorHAnsi" w:cstheme="minorHAnsi"/>
          <w:color w:val="000000"/>
          <w:sz w:val="22"/>
          <w:szCs w:val="20"/>
        </w:rPr>
      </w:pPr>
    </w:p>
    <w:p w14:paraId="17951F53" w14:textId="262E46A4" w:rsidR="00A910DA" w:rsidRPr="002B3C0C" w:rsidRDefault="00A910DA" w:rsidP="00A910DA">
      <w:pPr>
        <w:pStyle w:val="CommentText"/>
        <w:spacing w:after="0"/>
        <w:rPr>
          <w:rFonts w:asciiTheme="minorHAnsi" w:hAnsiTheme="minorHAnsi" w:cstheme="minorHAnsi"/>
          <w:color w:val="000000"/>
          <w:sz w:val="22"/>
          <w:szCs w:val="22"/>
        </w:rPr>
      </w:pPr>
      <w:r w:rsidRPr="002B3C0C">
        <w:rPr>
          <w:rFonts w:asciiTheme="minorHAnsi" w:hAnsiTheme="minorHAnsi" w:cstheme="minorHAnsi"/>
          <w:color w:val="000000"/>
          <w:sz w:val="22"/>
        </w:rPr>
        <w:t xml:space="preserve">Schools selected by SESG for </w:t>
      </w:r>
      <w:r w:rsidR="0034313C">
        <w:rPr>
          <w:rFonts w:asciiTheme="minorHAnsi" w:hAnsiTheme="minorHAnsi" w:cstheme="minorHAnsi"/>
          <w:color w:val="000000"/>
          <w:sz w:val="22"/>
        </w:rPr>
        <w:t>P</w:t>
      </w:r>
      <w:r w:rsidRPr="002B3C0C">
        <w:rPr>
          <w:rFonts w:asciiTheme="minorHAnsi" w:hAnsiTheme="minorHAnsi" w:cstheme="minorHAnsi"/>
          <w:color w:val="000000"/>
          <w:sz w:val="22"/>
        </w:rPr>
        <w:t xml:space="preserve">rogram </w:t>
      </w:r>
      <w:r w:rsidR="0034313C">
        <w:rPr>
          <w:rFonts w:asciiTheme="minorHAnsi" w:hAnsiTheme="minorHAnsi" w:cstheme="minorHAnsi"/>
          <w:color w:val="000000"/>
          <w:sz w:val="22"/>
        </w:rPr>
        <w:t>R</w:t>
      </w:r>
      <w:r w:rsidRPr="002B3C0C">
        <w:rPr>
          <w:rFonts w:asciiTheme="minorHAnsi" w:hAnsiTheme="minorHAnsi" w:cstheme="minorHAnsi"/>
          <w:color w:val="000000"/>
          <w:sz w:val="22"/>
        </w:rPr>
        <w:t xml:space="preserve">eview were stratified based on the designated risk trigger. Schools not selected for </w:t>
      </w:r>
      <w:r w:rsidR="0034313C">
        <w:rPr>
          <w:rFonts w:asciiTheme="minorHAnsi" w:hAnsiTheme="minorHAnsi" w:cstheme="minorHAnsi"/>
          <w:color w:val="000000"/>
          <w:sz w:val="22"/>
        </w:rPr>
        <w:t>P</w:t>
      </w:r>
      <w:r w:rsidRPr="002B3C0C">
        <w:rPr>
          <w:rFonts w:asciiTheme="minorHAnsi" w:hAnsiTheme="minorHAnsi" w:cstheme="minorHAnsi"/>
          <w:color w:val="000000"/>
          <w:sz w:val="22"/>
        </w:rPr>
        <w:t xml:space="preserve">rogram </w:t>
      </w:r>
      <w:r w:rsidR="0034313C">
        <w:rPr>
          <w:rFonts w:asciiTheme="minorHAnsi" w:hAnsiTheme="minorHAnsi" w:cstheme="minorHAnsi"/>
          <w:color w:val="000000"/>
          <w:sz w:val="22"/>
        </w:rPr>
        <w:t>R</w:t>
      </w:r>
      <w:r w:rsidRPr="002B3C0C">
        <w:rPr>
          <w:rFonts w:asciiTheme="minorHAnsi" w:hAnsiTheme="minorHAnsi" w:cstheme="minorHAnsi"/>
          <w:color w:val="000000"/>
          <w:sz w:val="22"/>
        </w:rPr>
        <w:t xml:space="preserve">eview (i.e., not assigned a risk trigger) were objectively assigned to a stratum using </w:t>
      </w:r>
      <w:r w:rsidR="00A9692C">
        <w:rPr>
          <w:rFonts w:asciiTheme="minorHAnsi" w:hAnsiTheme="minorHAnsi" w:cstheme="minorHAnsi"/>
          <w:color w:val="000000"/>
          <w:sz w:val="22"/>
        </w:rPr>
        <w:t xml:space="preserve">the modified total </w:t>
      </w:r>
      <w:r w:rsidRPr="002B3C0C">
        <w:rPr>
          <w:rFonts w:asciiTheme="minorHAnsi" w:hAnsiTheme="minorHAnsi" w:cstheme="minorHAnsi"/>
          <w:color w:val="000000"/>
          <w:sz w:val="22"/>
        </w:rPr>
        <w:t xml:space="preserve">scores assigned to the schools by SESG at the beginning of the program selection process. </w:t>
      </w:r>
      <w:r w:rsidRPr="002B3C0C">
        <w:rPr>
          <w:rFonts w:asciiTheme="minorHAnsi" w:hAnsiTheme="minorHAnsi" w:cstheme="minorHAnsi"/>
          <w:color w:val="000000"/>
          <w:sz w:val="22"/>
          <w:szCs w:val="22"/>
        </w:rPr>
        <w:t xml:space="preserve">The </w:t>
      </w:r>
      <w:r w:rsidRPr="002B3C0C">
        <w:rPr>
          <w:rFonts w:asciiTheme="minorHAnsi" w:hAnsiTheme="minorHAnsi" w:cstheme="minorHAnsi"/>
          <w:color w:val="000000"/>
          <w:sz w:val="22"/>
        </w:rPr>
        <w:t xml:space="preserve">scores support SESG’s selection of </w:t>
      </w:r>
      <w:r w:rsidR="0034313C">
        <w:rPr>
          <w:rFonts w:asciiTheme="minorHAnsi" w:hAnsiTheme="minorHAnsi" w:cstheme="minorHAnsi"/>
          <w:color w:val="000000"/>
          <w:sz w:val="22"/>
        </w:rPr>
        <w:t>P</w:t>
      </w:r>
      <w:r w:rsidRPr="002B3C0C">
        <w:rPr>
          <w:rFonts w:asciiTheme="minorHAnsi" w:hAnsiTheme="minorHAnsi" w:cstheme="minorHAnsi"/>
          <w:color w:val="000000"/>
          <w:sz w:val="22"/>
        </w:rPr>
        <w:t xml:space="preserve">rogram </w:t>
      </w:r>
      <w:r w:rsidR="0034313C">
        <w:rPr>
          <w:rFonts w:asciiTheme="minorHAnsi" w:hAnsiTheme="minorHAnsi" w:cstheme="minorHAnsi"/>
          <w:color w:val="000000"/>
          <w:sz w:val="22"/>
        </w:rPr>
        <w:t>R</w:t>
      </w:r>
      <w:r w:rsidRPr="002B3C0C">
        <w:rPr>
          <w:rFonts w:asciiTheme="minorHAnsi" w:hAnsiTheme="minorHAnsi" w:cstheme="minorHAnsi"/>
          <w:color w:val="000000"/>
          <w:sz w:val="22"/>
        </w:rPr>
        <w:t>eviews to be performed and are a proxy for the risk trigger</w:t>
      </w:r>
      <w:r w:rsidRPr="002B3C0C">
        <w:rPr>
          <w:rStyle w:val="FootnoteReference"/>
          <w:rFonts w:asciiTheme="minorHAnsi" w:hAnsiTheme="minorHAnsi" w:cstheme="minorHAnsi"/>
          <w:color w:val="000000"/>
          <w:sz w:val="22"/>
        </w:rPr>
        <w:footnoteReference w:id="3"/>
      </w:r>
      <w:r w:rsidRPr="002B3C0C">
        <w:rPr>
          <w:rFonts w:asciiTheme="minorHAnsi" w:hAnsiTheme="minorHAnsi" w:cstheme="minorHAnsi"/>
          <w:color w:val="000000"/>
          <w:sz w:val="22"/>
        </w:rPr>
        <w:t xml:space="preserve">. </w:t>
      </w:r>
      <w:r w:rsidRPr="002B3C0C">
        <w:rPr>
          <w:rFonts w:asciiTheme="minorHAnsi" w:hAnsiTheme="minorHAnsi" w:cstheme="minorHAnsi"/>
          <w:color w:val="000000"/>
          <w:sz w:val="22"/>
          <w:szCs w:val="22"/>
        </w:rPr>
        <w:t xml:space="preserve">In some instances, schools not selected by SESG for </w:t>
      </w:r>
      <w:r w:rsidR="0034313C">
        <w:rPr>
          <w:rFonts w:asciiTheme="minorHAnsi" w:hAnsiTheme="minorHAnsi" w:cstheme="minorHAnsi"/>
          <w:color w:val="000000"/>
          <w:sz w:val="22"/>
          <w:szCs w:val="22"/>
        </w:rPr>
        <w:t>P</w:t>
      </w:r>
      <w:r w:rsidRPr="002B3C0C">
        <w:rPr>
          <w:rFonts w:asciiTheme="minorHAnsi" w:hAnsiTheme="minorHAnsi" w:cstheme="minorHAnsi"/>
          <w:color w:val="000000"/>
          <w:sz w:val="22"/>
          <w:szCs w:val="22"/>
        </w:rPr>
        <w:t xml:space="preserve">rogram </w:t>
      </w:r>
      <w:r w:rsidR="0034313C">
        <w:rPr>
          <w:rFonts w:asciiTheme="minorHAnsi" w:hAnsiTheme="minorHAnsi" w:cstheme="minorHAnsi"/>
          <w:color w:val="000000"/>
          <w:sz w:val="22"/>
          <w:szCs w:val="22"/>
        </w:rPr>
        <w:t>R</w:t>
      </w:r>
      <w:r w:rsidRPr="002B3C0C">
        <w:rPr>
          <w:rFonts w:asciiTheme="minorHAnsi" w:hAnsiTheme="minorHAnsi" w:cstheme="minorHAnsi"/>
          <w:color w:val="000000"/>
          <w:sz w:val="22"/>
          <w:szCs w:val="22"/>
        </w:rPr>
        <w:t>eview may not receive a score by SESG as part of the program selection process. These schools were distributed proportionally across the three strata.</w:t>
      </w:r>
    </w:p>
    <w:p w14:paraId="4EDF746A" w14:textId="77777777" w:rsidR="00D95E64" w:rsidRDefault="00D95E64" w:rsidP="00A910DA">
      <w:pPr>
        <w:pStyle w:val="CommentText"/>
        <w:spacing w:after="0"/>
        <w:rPr>
          <w:rFonts w:asciiTheme="minorHAnsi" w:hAnsiTheme="minorHAnsi" w:cstheme="minorHAnsi"/>
          <w:color w:val="000000"/>
          <w:sz w:val="22"/>
          <w:szCs w:val="22"/>
        </w:rPr>
      </w:pPr>
    </w:p>
    <w:p w14:paraId="6D81E85D" w14:textId="77777777" w:rsidR="00FB4DFA" w:rsidRDefault="00A910DA" w:rsidP="00A910DA">
      <w:pPr>
        <w:pStyle w:val="CommentText"/>
        <w:spacing w:after="0"/>
        <w:rPr>
          <w:rFonts w:asciiTheme="minorHAnsi" w:hAnsiTheme="minorHAnsi" w:cstheme="minorHAnsi"/>
          <w:color w:val="000000"/>
          <w:sz w:val="22"/>
          <w:szCs w:val="22"/>
        </w:rPr>
      </w:pPr>
      <w:r w:rsidRPr="002B3C0C">
        <w:rPr>
          <w:rFonts w:asciiTheme="minorHAnsi" w:hAnsiTheme="minorHAnsi" w:cstheme="minorHAnsi"/>
          <w:color w:val="000000"/>
          <w:sz w:val="22"/>
          <w:szCs w:val="22"/>
        </w:rPr>
        <w:t xml:space="preserve">The baseline estimates for Pell and DL are based on the institutions and disbursements selected and tested via the existing SESG Program Review process. </w:t>
      </w:r>
    </w:p>
    <w:p w14:paraId="2BBC1A2B" w14:textId="77777777" w:rsidR="00FB4DFA" w:rsidRDefault="00FB4DFA" w:rsidP="00A910DA">
      <w:pPr>
        <w:pStyle w:val="CommentText"/>
        <w:spacing w:after="0"/>
        <w:rPr>
          <w:rFonts w:asciiTheme="minorHAnsi" w:hAnsiTheme="minorHAnsi" w:cstheme="minorHAnsi"/>
          <w:color w:val="000000"/>
          <w:sz w:val="22"/>
          <w:szCs w:val="22"/>
        </w:rPr>
      </w:pPr>
    </w:p>
    <w:p w14:paraId="6A44AA20" w14:textId="60AAA5CA" w:rsidR="004A4A0D" w:rsidRDefault="00FB4DFA" w:rsidP="00A910DA">
      <w:pPr>
        <w:pStyle w:val="CommentText"/>
        <w:spacing w:after="0"/>
        <w:rPr>
          <w:rFonts w:asciiTheme="minorHAnsi" w:hAnsiTheme="minorHAnsi" w:cstheme="minorHAnsi"/>
          <w:color w:val="000000"/>
          <w:sz w:val="22"/>
          <w:szCs w:val="22"/>
        </w:rPr>
      </w:pPr>
      <w:r>
        <w:rPr>
          <w:rFonts w:asciiTheme="minorHAnsi" w:hAnsiTheme="minorHAnsi" w:cstheme="minorHAnsi"/>
          <w:color w:val="000000"/>
          <w:sz w:val="22"/>
          <w:szCs w:val="22"/>
        </w:rPr>
        <w:t>For Pell, t</w:t>
      </w:r>
      <w:r w:rsidR="002B43AC" w:rsidRPr="002B43AC">
        <w:rPr>
          <w:rFonts w:asciiTheme="minorHAnsi" w:hAnsiTheme="minorHAnsi" w:cstheme="minorHAnsi"/>
          <w:color w:val="000000"/>
          <w:sz w:val="22"/>
          <w:szCs w:val="22"/>
        </w:rPr>
        <w:t xml:space="preserve">o account for improper payments associated with </w:t>
      </w:r>
      <w:r w:rsidR="00C15F68">
        <w:rPr>
          <w:rFonts w:asciiTheme="minorHAnsi" w:hAnsiTheme="minorHAnsi" w:cstheme="minorHAnsi"/>
          <w:color w:val="000000"/>
          <w:sz w:val="22"/>
          <w:szCs w:val="22"/>
        </w:rPr>
        <w:t xml:space="preserve">Pell </w:t>
      </w:r>
      <w:r w:rsidR="002B43AC" w:rsidRPr="002B43AC">
        <w:rPr>
          <w:rFonts w:asciiTheme="minorHAnsi" w:hAnsiTheme="minorHAnsi" w:cstheme="minorHAnsi"/>
          <w:color w:val="000000"/>
          <w:sz w:val="22"/>
          <w:szCs w:val="22"/>
        </w:rPr>
        <w:t>recipients who</w:t>
      </w:r>
      <w:r w:rsidR="00C15F68">
        <w:rPr>
          <w:rFonts w:asciiTheme="minorHAnsi" w:hAnsiTheme="minorHAnsi" w:cstheme="minorHAnsi"/>
          <w:color w:val="000000"/>
          <w:sz w:val="22"/>
          <w:szCs w:val="22"/>
        </w:rPr>
        <w:t xml:space="preserve"> </w:t>
      </w:r>
      <w:r w:rsidR="00C15F68" w:rsidRPr="002B43AC">
        <w:rPr>
          <w:rFonts w:asciiTheme="minorHAnsi" w:hAnsiTheme="minorHAnsi" w:cstheme="minorHAnsi"/>
          <w:color w:val="000000"/>
          <w:sz w:val="22"/>
          <w:szCs w:val="22"/>
        </w:rPr>
        <w:t>provide</w:t>
      </w:r>
      <w:r>
        <w:rPr>
          <w:rFonts w:asciiTheme="minorHAnsi" w:hAnsiTheme="minorHAnsi" w:cstheme="minorHAnsi"/>
          <w:color w:val="000000"/>
          <w:sz w:val="22"/>
          <w:szCs w:val="22"/>
        </w:rPr>
        <w:t>d</w:t>
      </w:r>
      <w:r w:rsidR="00C15F68" w:rsidRPr="002B43AC">
        <w:rPr>
          <w:rFonts w:asciiTheme="minorHAnsi" w:hAnsiTheme="minorHAnsi" w:cstheme="minorHAnsi"/>
          <w:color w:val="000000"/>
          <w:sz w:val="22"/>
          <w:szCs w:val="22"/>
        </w:rPr>
        <w:t xml:space="preserve"> inaccurate self-reported income on the FAFSA</w:t>
      </w:r>
      <w:r w:rsidR="002B43AC" w:rsidRPr="002B43AC">
        <w:rPr>
          <w:rFonts w:asciiTheme="minorHAnsi" w:hAnsiTheme="minorHAnsi" w:cstheme="minorHAnsi"/>
          <w:color w:val="000000"/>
          <w:sz w:val="22"/>
          <w:szCs w:val="22"/>
        </w:rPr>
        <w:t xml:space="preserve"> </w:t>
      </w:r>
      <w:r w:rsidR="00C15F68">
        <w:rPr>
          <w:rFonts w:asciiTheme="minorHAnsi" w:hAnsiTheme="minorHAnsi" w:cstheme="minorHAnsi"/>
          <w:color w:val="000000"/>
          <w:sz w:val="22"/>
          <w:szCs w:val="22"/>
        </w:rPr>
        <w:t xml:space="preserve">and </w:t>
      </w:r>
      <w:r>
        <w:rPr>
          <w:rFonts w:asciiTheme="minorHAnsi" w:hAnsiTheme="minorHAnsi" w:cstheme="minorHAnsi"/>
          <w:color w:val="000000"/>
          <w:sz w:val="22"/>
          <w:szCs w:val="22"/>
        </w:rPr>
        <w:t>did</w:t>
      </w:r>
      <w:r w:rsidR="002B43AC" w:rsidRPr="002B43AC">
        <w:rPr>
          <w:rFonts w:asciiTheme="minorHAnsi" w:hAnsiTheme="minorHAnsi" w:cstheme="minorHAnsi"/>
          <w:color w:val="000000"/>
          <w:sz w:val="22"/>
          <w:szCs w:val="22"/>
        </w:rPr>
        <w:t xml:space="preserve"> not use the IRS Data Retrieval Tool (DRT)</w:t>
      </w:r>
      <w:r>
        <w:rPr>
          <w:rFonts w:asciiTheme="minorHAnsi" w:hAnsiTheme="minorHAnsi" w:cstheme="minorHAnsi"/>
          <w:color w:val="000000"/>
          <w:sz w:val="22"/>
          <w:szCs w:val="22"/>
        </w:rPr>
        <w:t xml:space="preserve"> and who were</w:t>
      </w:r>
      <w:r w:rsidR="002B43AC" w:rsidRPr="002B43AC">
        <w:rPr>
          <w:rFonts w:asciiTheme="minorHAnsi" w:hAnsiTheme="minorHAnsi" w:cstheme="minorHAnsi"/>
          <w:color w:val="000000"/>
          <w:sz w:val="22"/>
          <w:szCs w:val="22"/>
        </w:rPr>
        <w:t xml:space="preserve"> not selected for income verification</w:t>
      </w:r>
      <w:r w:rsidR="002B43AC">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the baseline estimate also includes incorporation of the </w:t>
      </w:r>
      <w:r w:rsidRPr="00BB22FD">
        <w:rPr>
          <w:rFonts w:asciiTheme="minorHAnsi" w:hAnsiTheme="minorHAnsi" w:cstheme="minorHAnsi"/>
          <w:color w:val="000000"/>
          <w:sz w:val="22"/>
          <w:szCs w:val="22"/>
        </w:rPr>
        <w:t xml:space="preserve">Pell improper payment </w:t>
      </w:r>
      <w:r w:rsidR="00DA626A">
        <w:rPr>
          <w:rFonts w:asciiTheme="minorHAnsi" w:hAnsiTheme="minorHAnsi" w:cstheme="minorHAnsi"/>
          <w:color w:val="000000"/>
          <w:sz w:val="22"/>
          <w:szCs w:val="22"/>
        </w:rPr>
        <w:t>estimates</w:t>
      </w:r>
      <w:r>
        <w:rPr>
          <w:rFonts w:asciiTheme="minorHAnsi" w:hAnsiTheme="minorHAnsi" w:cstheme="minorHAnsi"/>
          <w:color w:val="000000"/>
          <w:sz w:val="22"/>
          <w:szCs w:val="22"/>
        </w:rPr>
        <w:t xml:space="preserve"> from t</w:t>
      </w:r>
      <w:r w:rsidRPr="00BB22FD">
        <w:rPr>
          <w:rFonts w:asciiTheme="minorHAnsi" w:hAnsiTheme="minorHAnsi" w:cstheme="minorHAnsi"/>
          <w:color w:val="000000"/>
          <w:sz w:val="22"/>
          <w:szCs w:val="22"/>
        </w:rPr>
        <w:t>he FAFSA/IRS Data Statistical Study (Study)</w:t>
      </w:r>
      <w:r w:rsidR="00E53978">
        <w:rPr>
          <w:rFonts w:asciiTheme="minorHAnsi" w:hAnsiTheme="minorHAnsi" w:cstheme="minorHAnsi"/>
          <w:color w:val="000000"/>
          <w:sz w:val="22"/>
          <w:szCs w:val="22"/>
        </w:rPr>
        <w:t>. The Study includes Pell-specific estimated</w:t>
      </w:r>
      <w:r w:rsidRPr="00BB22FD">
        <w:rPr>
          <w:rFonts w:asciiTheme="minorHAnsi" w:hAnsiTheme="minorHAnsi" w:cstheme="minorHAnsi"/>
          <w:color w:val="000000"/>
          <w:sz w:val="22"/>
          <w:szCs w:val="22"/>
        </w:rPr>
        <w:t xml:space="preserve"> improper payment rates based on a comparison between information reported by applicants on the FAFSA and income details reported to the IRS</w:t>
      </w:r>
      <w:r>
        <w:rPr>
          <w:rFonts w:asciiTheme="minorHAnsi" w:hAnsiTheme="minorHAnsi" w:cstheme="minorHAnsi"/>
          <w:color w:val="000000"/>
          <w:sz w:val="22"/>
          <w:szCs w:val="22"/>
        </w:rPr>
        <w:t xml:space="preserve">. </w:t>
      </w:r>
      <w:r w:rsidR="00BB22FD">
        <w:rPr>
          <w:rFonts w:asciiTheme="minorHAnsi" w:hAnsiTheme="minorHAnsi" w:cstheme="minorHAnsi"/>
          <w:color w:val="000000"/>
          <w:sz w:val="22"/>
          <w:szCs w:val="22"/>
        </w:rPr>
        <w:t>For</w:t>
      </w:r>
      <w:r w:rsidR="002B43AC" w:rsidRPr="002B43AC">
        <w:rPr>
          <w:rFonts w:asciiTheme="minorHAnsi" w:hAnsiTheme="minorHAnsi" w:cstheme="minorHAnsi"/>
          <w:color w:val="000000"/>
          <w:sz w:val="22"/>
          <w:szCs w:val="22"/>
        </w:rPr>
        <w:t xml:space="preserve"> those </w:t>
      </w:r>
      <w:r w:rsidR="004A4A0D">
        <w:rPr>
          <w:rFonts w:asciiTheme="minorHAnsi" w:hAnsiTheme="minorHAnsi" w:cstheme="minorHAnsi"/>
          <w:color w:val="000000"/>
          <w:sz w:val="22"/>
          <w:szCs w:val="22"/>
        </w:rPr>
        <w:t xml:space="preserve">sampled students </w:t>
      </w:r>
      <w:r>
        <w:rPr>
          <w:rFonts w:asciiTheme="minorHAnsi" w:hAnsiTheme="minorHAnsi" w:cstheme="minorHAnsi"/>
          <w:color w:val="000000"/>
          <w:sz w:val="22"/>
          <w:szCs w:val="22"/>
        </w:rPr>
        <w:t xml:space="preserve">in the Program Review Reports </w:t>
      </w:r>
      <w:r w:rsidR="002B43AC" w:rsidRPr="002B43AC">
        <w:rPr>
          <w:rFonts w:asciiTheme="minorHAnsi" w:hAnsiTheme="minorHAnsi" w:cstheme="minorHAnsi"/>
          <w:color w:val="000000"/>
          <w:sz w:val="22"/>
          <w:szCs w:val="22"/>
        </w:rPr>
        <w:t>not selected for income verificat</w:t>
      </w:r>
      <w:r w:rsidR="00BB22FD">
        <w:rPr>
          <w:rFonts w:asciiTheme="minorHAnsi" w:hAnsiTheme="minorHAnsi" w:cstheme="minorHAnsi"/>
          <w:color w:val="000000"/>
          <w:sz w:val="22"/>
          <w:szCs w:val="22"/>
        </w:rPr>
        <w:t xml:space="preserve">ion and </w:t>
      </w:r>
      <w:r w:rsidR="00C15F68">
        <w:rPr>
          <w:rFonts w:asciiTheme="minorHAnsi" w:hAnsiTheme="minorHAnsi" w:cstheme="minorHAnsi"/>
          <w:color w:val="000000"/>
          <w:sz w:val="22"/>
          <w:szCs w:val="22"/>
        </w:rPr>
        <w:t xml:space="preserve">who </w:t>
      </w:r>
      <w:r w:rsidR="00BB22FD">
        <w:rPr>
          <w:rFonts w:asciiTheme="minorHAnsi" w:hAnsiTheme="minorHAnsi" w:cstheme="minorHAnsi"/>
          <w:color w:val="000000"/>
          <w:sz w:val="22"/>
          <w:szCs w:val="22"/>
        </w:rPr>
        <w:t xml:space="preserve">did not use the IRS DRT, </w:t>
      </w:r>
      <w:r w:rsidR="00C15F68">
        <w:rPr>
          <w:rFonts w:asciiTheme="minorHAnsi" w:hAnsiTheme="minorHAnsi" w:cstheme="minorHAnsi"/>
          <w:color w:val="000000"/>
          <w:sz w:val="22"/>
          <w:szCs w:val="22"/>
        </w:rPr>
        <w:t xml:space="preserve">the </w:t>
      </w:r>
      <w:r w:rsidR="00BB22FD" w:rsidRPr="00BB22FD">
        <w:rPr>
          <w:rFonts w:asciiTheme="minorHAnsi" w:hAnsiTheme="minorHAnsi" w:cstheme="minorHAnsi"/>
          <w:color w:val="000000"/>
          <w:sz w:val="22"/>
          <w:szCs w:val="22"/>
        </w:rPr>
        <w:t xml:space="preserve">improper overpayment and underpayment rates from the </w:t>
      </w:r>
      <w:r w:rsidR="004A4A0D">
        <w:rPr>
          <w:rFonts w:asciiTheme="minorHAnsi" w:hAnsiTheme="minorHAnsi" w:cstheme="minorHAnsi"/>
          <w:color w:val="000000"/>
          <w:sz w:val="22"/>
          <w:szCs w:val="22"/>
        </w:rPr>
        <w:t>Study were</w:t>
      </w:r>
      <w:r w:rsidR="00BB22FD">
        <w:rPr>
          <w:rFonts w:asciiTheme="minorHAnsi" w:hAnsiTheme="minorHAnsi" w:cstheme="minorHAnsi"/>
          <w:color w:val="000000"/>
          <w:sz w:val="22"/>
          <w:szCs w:val="22"/>
        </w:rPr>
        <w:t xml:space="preserve"> applied </w:t>
      </w:r>
      <w:r w:rsidR="00BB22FD" w:rsidRPr="00BB22FD">
        <w:rPr>
          <w:rFonts w:asciiTheme="minorHAnsi" w:hAnsiTheme="minorHAnsi" w:cstheme="minorHAnsi"/>
          <w:color w:val="000000"/>
          <w:sz w:val="22"/>
          <w:szCs w:val="22"/>
        </w:rPr>
        <w:t xml:space="preserve">to the sample disbursements for the applicable AY to estimate improper payments due to misreported income. </w:t>
      </w:r>
      <w:r w:rsidR="004A4A0D">
        <w:rPr>
          <w:rFonts w:asciiTheme="minorHAnsi" w:hAnsiTheme="minorHAnsi" w:cstheme="minorHAnsi"/>
          <w:color w:val="000000"/>
          <w:sz w:val="22"/>
          <w:szCs w:val="22"/>
        </w:rPr>
        <w:t>T</w:t>
      </w:r>
      <w:r w:rsidR="004A4A0D" w:rsidRPr="00C15F68">
        <w:rPr>
          <w:rFonts w:asciiTheme="minorHAnsi" w:hAnsiTheme="minorHAnsi" w:cstheme="minorHAnsi"/>
          <w:color w:val="000000"/>
          <w:sz w:val="22"/>
          <w:szCs w:val="22"/>
        </w:rPr>
        <w:t>o avoid applying a</w:t>
      </w:r>
      <w:r w:rsidR="00E53978">
        <w:rPr>
          <w:rFonts w:asciiTheme="minorHAnsi" w:hAnsiTheme="minorHAnsi" w:cstheme="minorHAnsi"/>
          <w:color w:val="000000"/>
          <w:sz w:val="22"/>
          <w:szCs w:val="22"/>
        </w:rPr>
        <w:t>n improper payment rate twice to</w:t>
      </w:r>
      <w:r w:rsidR="004A4A0D" w:rsidRPr="00C15F68">
        <w:rPr>
          <w:rFonts w:asciiTheme="minorHAnsi" w:hAnsiTheme="minorHAnsi" w:cstheme="minorHAnsi"/>
          <w:color w:val="000000"/>
          <w:sz w:val="22"/>
          <w:szCs w:val="22"/>
        </w:rPr>
        <w:t xml:space="preserve"> one disbursement</w:t>
      </w:r>
      <w:r w:rsidR="004A4A0D">
        <w:rPr>
          <w:rFonts w:asciiTheme="minorHAnsi" w:hAnsiTheme="minorHAnsi" w:cstheme="minorHAnsi"/>
          <w:color w:val="000000"/>
          <w:sz w:val="22"/>
          <w:szCs w:val="22"/>
        </w:rPr>
        <w:t>, f</w:t>
      </w:r>
      <w:r w:rsidR="00C15F68">
        <w:rPr>
          <w:rFonts w:asciiTheme="minorHAnsi" w:hAnsiTheme="minorHAnsi" w:cstheme="minorHAnsi"/>
          <w:color w:val="000000"/>
          <w:sz w:val="22"/>
          <w:szCs w:val="22"/>
        </w:rPr>
        <w:t>or those students whose</w:t>
      </w:r>
      <w:r w:rsidR="00BB22FD" w:rsidRPr="00C15F68">
        <w:rPr>
          <w:rFonts w:asciiTheme="minorHAnsi" w:hAnsiTheme="minorHAnsi" w:cstheme="minorHAnsi"/>
          <w:color w:val="000000"/>
          <w:sz w:val="22"/>
          <w:szCs w:val="22"/>
        </w:rPr>
        <w:t xml:space="preserve"> entire Pell value was deemed improper through another procedure in the Program Review R</w:t>
      </w:r>
      <w:r w:rsidR="00C15F68">
        <w:rPr>
          <w:rFonts w:asciiTheme="minorHAnsi" w:hAnsiTheme="minorHAnsi" w:cstheme="minorHAnsi"/>
          <w:color w:val="000000"/>
          <w:sz w:val="22"/>
          <w:szCs w:val="22"/>
        </w:rPr>
        <w:t>eport</w:t>
      </w:r>
      <w:r w:rsidR="00BB22FD" w:rsidRPr="00C15F68">
        <w:rPr>
          <w:rFonts w:asciiTheme="minorHAnsi" w:hAnsiTheme="minorHAnsi" w:cstheme="minorHAnsi"/>
          <w:color w:val="000000"/>
          <w:sz w:val="22"/>
          <w:szCs w:val="22"/>
        </w:rPr>
        <w:t>, the r</w:t>
      </w:r>
      <w:r w:rsidR="00C15F68">
        <w:rPr>
          <w:rFonts w:asciiTheme="minorHAnsi" w:hAnsiTheme="minorHAnsi" w:cstheme="minorHAnsi"/>
          <w:color w:val="000000"/>
          <w:sz w:val="22"/>
          <w:szCs w:val="22"/>
        </w:rPr>
        <w:t>ate reported in the Study was</w:t>
      </w:r>
      <w:r w:rsidR="00BB22FD" w:rsidRPr="00C15F68">
        <w:rPr>
          <w:rFonts w:asciiTheme="minorHAnsi" w:hAnsiTheme="minorHAnsi" w:cstheme="minorHAnsi"/>
          <w:color w:val="000000"/>
          <w:sz w:val="22"/>
          <w:szCs w:val="22"/>
        </w:rPr>
        <w:t xml:space="preserve"> not applied to these disbursements.</w:t>
      </w:r>
      <w:r w:rsidR="00C15F68">
        <w:rPr>
          <w:rFonts w:asciiTheme="minorHAnsi" w:hAnsiTheme="minorHAnsi" w:cstheme="minorHAnsi"/>
          <w:color w:val="000000"/>
          <w:sz w:val="22"/>
          <w:szCs w:val="22"/>
        </w:rPr>
        <w:t xml:space="preserve"> </w:t>
      </w:r>
      <w:r w:rsidR="004A4A0D">
        <w:rPr>
          <w:rFonts w:asciiTheme="minorHAnsi" w:hAnsiTheme="minorHAnsi" w:cstheme="minorHAnsi"/>
          <w:color w:val="000000"/>
          <w:sz w:val="22"/>
          <w:szCs w:val="22"/>
        </w:rPr>
        <w:t xml:space="preserve">Additionally, any </w:t>
      </w:r>
      <w:r w:rsidR="004A4A0D" w:rsidRPr="00FB4DFA">
        <w:rPr>
          <w:rFonts w:asciiTheme="minorHAnsi" w:hAnsiTheme="minorHAnsi" w:cstheme="minorHAnsi"/>
          <w:color w:val="000000"/>
          <w:sz w:val="22"/>
          <w:szCs w:val="22"/>
        </w:rPr>
        <w:t>overpayment or underpayment findings due to conflicting income information</w:t>
      </w:r>
      <w:r>
        <w:rPr>
          <w:rFonts w:asciiTheme="minorHAnsi" w:hAnsiTheme="minorHAnsi" w:cstheme="minorHAnsi"/>
          <w:color w:val="000000"/>
          <w:sz w:val="22"/>
          <w:szCs w:val="22"/>
        </w:rPr>
        <w:t xml:space="preserve"> identified within the Program Review Reports were </w:t>
      </w:r>
      <w:r w:rsidR="004A4A0D" w:rsidRPr="00FB4DFA">
        <w:rPr>
          <w:rFonts w:asciiTheme="minorHAnsi" w:hAnsiTheme="minorHAnsi" w:cstheme="minorHAnsi"/>
          <w:color w:val="000000"/>
          <w:sz w:val="22"/>
          <w:szCs w:val="22"/>
        </w:rPr>
        <w:t>disregard</w:t>
      </w:r>
      <w:r>
        <w:rPr>
          <w:rFonts w:asciiTheme="minorHAnsi" w:hAnsiTheme="minorHAnsi" w:cstheme="minorHAnsi"/>
          <w:color w:val="000000"/>
          <w:sz w:val="22"/>
          <w:szCs w:val="22"/>
        </w:rPr>
        <w:t>ed</w:t>
      </w:r>
      <w:r w:rsidR="004A4A0D" w:rsidRPr="00FB4DFA">
        <w:rPr>
          <w:rFonts w:asciiTheme="minorHAnsi" w:hAnsiTheme="minorHAnsi" w:cstheme="minorHAnsi"/>
          <w:color w:val="000000"/>
          <w:sz w:val="22"/>
          <w:szCs w:val="22"/>
        </w:rPr>
        <w:t xml:space="preserve"> as these findings </w:t>
      </w:r>
      <w:r>
        <w:rPr>
          <w:rFonts w:asciiTheme="minorHAnsi" w:hAnsiTheme="minorHAnsi" w:cstheme="minorHAnsi"/>
          <w:color w:val="000000"/>
          <w:sz w:val="22"/>
          <w:szCs w:val="22"/>
        </w:rPr>
        <w:t xml:space="preserve">are accounted for by applying the Study rates </w:t>
      </w:r>
      <w:r w:rsidRPr="00BB22FD">
        <w:rPr>
          <w:rFonts w:asciiTheme="minorHAnsi" w:hAnsiTheme="minorHAnsi" w:cstheme="minorHAnsi"/>
          <w:color w:val="000000"/>
          <w:sz w:val="22"/>
          <w:szCs w:val="22"/>
        </w:rPr>
        <w:t>to the sample disbursements</w:t>
      </w:r>
      <w:r w:rsidR="002A7FB2">
        <w:rPr>
          <w:rFonts w:asciiTheme="minorHAnsi" w:hAnsiTheme="minorHAnsi" w:cstheme="minorHAnsi"/>
          <w:color w:val="000000"/>
          <w:sz w:val="22"/>
          <w:szCs w:val="22"/>
        </w:rPr>
        <w:t xml:space="preserve"> for students</w:t>
      </w:r>
      <w:r w:rsidR="002A7FB2" w:rsidRPr="002A7FB2">
        <w:rPr>
          <w:rFonts w:asciiTheme="minorHAnsi" w:hAnsiTheme="minorHAnsi" w:cstheme="minorHAnsi"/>
          <w:color w:val="000000"/>
          <w:sz w:val="22"/>
          <w:szCs w:val="22"/>
        </w:rPr>
        <w:t xml:space="preserve"> </w:t>
      </w:r>
      <w:r w:rsidR="002A7FB2">
        <w:rPr>
          <w:rFonts w:asciiTheme="minorHAnsi" w:hAnsiTheme="minorHAnsi" w:cstheme="minorHAnsi"/>
          <w:color w:val="000000"/>
          <w:sz w:val="22"/>
          <w:szCs w:val="22"/>
        </w:rPr>
        <w:t>who did</w:t>
      </w:r>
      <w:r w:rsidR="002A7FB2" w:rsidRPr="002B43AC">
        <w:rPr>
          <w:rFonts w:asciiTheme="minorHAnsi" w:hAnsiTheme="minorHAnsi" w:cstheme="minorHAnsi"/>
          <w:color w:val="000000"/>
          <w:sz w:val="22"/>
          <w:szCs w:val="22"/>
        </w:rPr>
        <w:t xml:space="preserve"> not use the IRS Data DRT</w:t>
      </w:r>
      <w:r w:rsidR="002A7FB2">
        <w:rPr>
          <w:rFonts w:asciiTheme="minorHAnsi" w:hAnsiTheme="minorHAnsi" w:cstheme="minorHAnsi"/>
          <w:color w:val="000000"/>
          <w:sz w:val="22"/>
          <w:szCs w:val="22"/>
        </w:rPr>
        <w:t xml:space="preserve"> and who were</w:t>
      </w:r>
      <w:r w:rsidR="002A7FB2" w:rsidRPr="002B43AC">
        <w:rPr>
          <w:rFonts w:asciiTheme="minorHAnsi" w:hAnsiTheme="minorHAnsi" w:cstheme="minorHAnsi"/>
          <w:color w:val="000000"/>
          <w:sz w:val="22"/>
          <w:szCs w:val="22"/>
        </w:rPr>
        <w:t xml:space="preserve"> not selected for income verification</w:t>
      </w:r>
      <w:r w:rsidR="004A4A0D" w:rsidRPr="00FB4DFA">
        <w:rPr>
          <w:rFonts w:asciiTheme="minorHAnsi" w:hAnsiTheme="minorHAnsi" w:cstheme="minorHAnsi"/>
          <w:color w:val="000000"/>
          <w:sz w:val="22"/>
          <w:szCs w:val="22"/>
        </w:rPr>
        <w:t>.</w:t>
      </w:r>
    </w:p>
    <w:p w14:paraId="673F8AE7" w14:textId="77777777" w:rsidR="00FB4DFA" w:rsidRDefault="00FB4DFA" w:rsidP="00A910DA">
      <w:pPr>
        <w:pStyle w:val="CommentText"/>
        <w:spacing w:after="0"/>
        <w:rPr>
          <w:rFonts w:asciiTheme="minorHAnsi" w:hAnsiTheme="minorHAnsi" w:cstheme="minorHAnsi"/>
          <w:color w:val="000000"/>
          <w:sz w:val="22"/>
          <w:szCs w:val="22"/>
        </w:rPr>
      </w:pPr>
    </w:p>
    <w:p w14:paraId="0BC0B4BC" w14:textId="611CDEBA" w:rsidR="001423D4" w:rsidRDefault="00A910DA" w:rsidP="001423D4">
      <w:pPr>
        <w:pStyle w:val="CommentText"/>
        <w:spacing w:after="0"/>
        <w:rPr>
          <w:rFonts w:asciiTheme="minorHAnsi" w:hAnsiTheme="minorHAnsi" w:cstheme="minorHAnsi"/>
          <w:color w:val="000000"/>
          <w:sz w:val="22"/>
          <w:szCs w:val="22"/>
        </w:rPr>
      </w:pPr>
      <w:r w:rsidRPr="002B3C0C">
        <w:rPr>
          <w:rFonts w:asciiTheme="minorHAnsi" w:hAnsiTheme="minorHAnsi" w:cstheme="minorHAnsi"/>
          <w:color w:val="000000"/>
          <w:sz w:val="22"/>
          <w:szCs w:val="22"/>
        </w:rPr>
        <w:t>The sample obtained from SESG Program Reviews</w:t>
      </w:r>
      <w:r w:rsidRPr="002B3C0C">
        <w:rPr>
          <w:rFonts w:asciiTheme="minorHAnsi" w:hAnsiTheme="minorHAnsi" w:cstheme="minorHAnsi"/>
          <w:color w:val="000000"/>
          <w:sz w:val="22"/>
        </w:rPr>
        <w:t xml:space="preserve"> was extrapolated</w:t>
      </w:r>
      <w:r w:rsidRPr="002B3C0C">
        <w:rPr>
          <w:rFonts w:asciiTheme="minorHAnsi" w:hAnsiTheme="minorHAnsi" w:cstheme="minorHAnsi"/>
          <w:color w:val="000000"/>
          <w:sz w:val="22"/>
          <w:szCs w:val="22"/>
        </w:rPr>
        <w:t xml:space="preserve"> to the entire population of schools </w:t>
      </w:r>
      <w:r w:rsidR="001718C3">
        <w:rPr>
          <w:rFonts w:asciiTheme="minorHAnsi" w:hAnsiTheme="minorHAnsi" w:cstheme="minorHAnsi"/>
          <w:color w:val="000000"/>
          <w:sz w:val="22"/>
          <w:szCs w:val="22"/>
        </w:rPr>
        <w:t>that disbursed</w:t>
      </w:r>
      <w:r w:rsidRPr="002B3C0C">
        <w:rPr>
          <w:rFonts w:asciiTheme="minorHAnsi" w:hAnsiTheme="minorHAnsi" w:cstheme="minorHAnsi"/>
          <w:color w:val="000000"/>
          <w:sz w:val="22"/>
          <w:szCs w:val="22"/>
        </w:rPr>
        <w:t xml:space="preserve"> Pell funding during the period under review.</w:t>
      </w:r>
      <w:r w:rsidRPr="002B3C0C">
        <w:rPr>
          <w:rFonts w:asciiTheme="minorHAnsi" w:hAnsiTheme="minorHAnsi" w:cstheme="minorHAnsi"/>
          <w:color w:val="000000"/>
          <w:sz w:val="22"/>
        </w:rPr>
        <w:t xml:space="preserve"> </w:t>
      </w:r>
      <w:r w:rsidR="00C41FA6">
        <w:rPr>
          <w:rFonts w:asciiTheme="minorHAnsi" w:hAnsiTheme="minorHAnsi" w:cstheme="minorHAnsi"/>
          <w:color w:val="000000"/>
          <w:sz w:val="22"/>
          <w:szCs w:val="22"/>
        </w:rPr>
        <w:t xml:space="preserve">Prior to extrapolating estimated improper payments for sampled schools </w:t>
      </w:r>
      <w:r w:rsidR="00C41FA6" w:rsidRPr="002B3C0C">
        <w:rPr>
          <w:rFonts w:asciiTheme="minorHAnsi" w:hAnsiTheme="minorHAnsi" w:cstheme="minorHAnsi"/>
          <w:color w:val="000000"/>
          <w:sz w:val="22"/>
          <w:szCs w:val="22"/>
        </w:rPr>
        <w:t xml:space="preserve">to </w:t>
      </w:r>
      <w:r w:rsidR="001718C3">
        <w:rPr>
          <w:rFonts w:asciiTheme="minorHAnsi" w:hAnsiTheme="minorHAnsi" w:cstheme="minorHAnsi"/>
          <w:color w:val="000000"/>
          <w:sz w:val="22"/>
          <w:szCs w:val="22"/>
        </w:rPr>
        <w:t xml:space="preserve">total Pell </w:t>
      </w:r>
      <w:r w:rsidR="003126D1">
        <w:rPr>
          <w:rFonts w:asciiTheme="minorHAnsi" w:hAnsiTheme="minorHAnsi" w:cstheme="minorHAnsi"/>
          <w:color w:val="000000"/>
          <w:sz w:val="22"/>
          <w:szCs w:val="22"/>
        </w:rPr>
        <w:t>disbursements</w:t>
      </w:r>
      <w:r w:rsidR="00C41FA6">
        <w:rPr>
          <w:rFonts w:asciiTheme="minorHAnsi" w:hAnsiTheme="minorHAnsi" w:cstheme="minorHAnsi"/>
          <w:color w:val="000000"/>
          <w:sz w:val="22"/>
          <w:szCs w:val="22"/>
        </w:rPr>
        <w:t>, t</w:t>
      </w:r>
      <w:r w:rsidR="001423D4" w:rsidRPr="00E53978">
        <w:rPr>
          <w:rFonts w:asciiTheme="minorHAnsi" w:hAnsiTheme="minorHAnsi" w:cstheme="minorHAnsi"/>
          <w:color w:val="000000"/>
          <w:sz w:val="22"/>
          <w:szCs w:val="22"/>
        </w:rPr>
        <w:t xml:space="preserve">otal Pell school- and program-level improper payments identified </w:t>
      </w:r>
      <w:r w:rsidR="001423D4">
        <w:rPr>
          <w:rFonts w:asciiTheme="minorHAnsi" w:hAnsiTheme="minorHAnsi" w:cstheme="minorHAnsi"/>
          <w:color w:val="000000"/>
          <w:sz w:val="22"/>
          <w:szCs w:val="22"/>
        </w:rPr>
        <w:t xml:space="preserve">within Final Program Review Determinations were added </w:t>
      </w:r>
      <w:r w:rsidR="001423D4" w:rsidRPr="00E53978">
        <w:rPr>
          <w:rFonts w:asciiTheme="minorHAnsi" w:hAnsiTheme="minorHAnsi" w:cstheme="minorHAnsi"/>
          <w:color w:val="000000"/>
          <w:sz w:val="22"/>
          <w:szCs w:val="22"/>
        </w:rPr>
        <w:t>to the total estimated improper payments for the corresponding schoo</w:t>
      </w:r>
      <w:r w:rsidR="001423D4">
        <w:rPr>
          <w:rFonts w:asciiTheme="minorHAnsi" w:hAnsiTheme="minorHAnsi" w:cstheme="minorHAnsi"/>
          <w:color w:val="000000"/>
          <w:sz w:val="22"/>
          <w:szCs w:val="22"/>
        </w:rPr>
        <w:t>l.</w:t>
      </w:r>
    </w:p>
    <w:p w14:paraId="7AE24A96" w14:textId="77777777" w:rsidR="001423D4" w:rsidRDefault="001423D4" w:rsidP="00A910DA">
      <w:pPr>
        <w:pStyle w:val="CommentText"/>
        <w:spacing w:after="0"/>
        <w:rPr>
          <w:rFonts w:asciiTheme="minorHAnsi" w:hAnsiTheme="minorHAnsi" w:cstheme="minorHAnsi"/>
          <w:color w:val="000000"/>
          <w:sz w:val="22"/>
        </w:rPr>
      </w:pPr>
    </w:p>
    <w:p w14:paraId="565468D5" w14:textId="05B017C0" w:rsidR="00A910DA" w:rsidRDefault="00A910DA" w:rsidP="00A910DA">
      <w:pPr>
        <w:pStyle w:val="CommentText"/>
        <w:spacing w:after="0"/>
        <w:rPr>
          <w:rFonts w:asciiTheme="minorHAnsi" w:hAnsiTheme="minorHAnsi" w:cstheme="minorHAnsi"/>
          <w:color w:val="000000"/>
          <w:sz w:val="22"/>
        </w:rPr>
      </w:pPr>
      <w:r w:rsidRPr="002B3C0C">
        <w:rPr>
          <w:rFonts w:asciiTheme="minorHAnsi" w:hAnsiTheme="minorHAnsi" w:cstheme="minorHAnsi"/>
          <w:color w:val="000000"/>
          <w:sz w:val="22"/>
        </w:rPr>
        <w:t>Based on this analysis, the Pell error rate for FY 201</w:t>
      </w:r>
      <w:r w:rsidR="00A9692C">
        <w:rPr>
          <w:rFonts w:asciiTheme="minorHAnsi" w:hAnsiTheme="minorHAnsi" w:cstheme="minorHAnsi"/>
          <w:color w:val="000000"/>
          <w:sz w:val="22"/>
        </w:rPr>
        <w:t>6</w:t>
      </w:r>
      <w:r w:rsidRPr="002B3C0C">
        <w:rPr>
          <w:rFonts w:asciiTheme="minorHAnsi" w:hAnsiTheme="minorHAnsi" w:cstheme="minorHAnsi"/>
          <w:color w:val="000000"/>
          <w:sz w:val="22"/>
        </w:rPr>
        <w:t xml:space="preserve"> was </w:t>
      </w:r>
      <w:r w:rsidR="00BD3469">
        <w:rPr>
          <w:rFonts w:asciiTheme="minorHAnsi" w:hAnsiTheme="minorHAnsi" w:cstheme="minorHAnsi"/>
          <w:color w:val="000000"/>
          <w:sz w:val="22"/>
        </w:rPr>
        <w:t>7.85</w:t>
      </w:r>
      <w:r w:rsidRPr="002B3C0C">
        <w:rPr>
          <w:rFonts w:asciiTheme="minorHAnsi" w:hAnsiTheme="minorHAnsi" w:cstheme="minorHAnsi"/>
          <w:color w:val="000000"/>
          <w:sz w:val="22"/>
        </w:rPr>
        <w:t xml:space="preserve"> percent, or $</w:t>
      </w:r>
      <w:r w:rsidR="00BD3469">
        <w:rPr>
          <w:rFonts w:asciiTheme="minorHAnsi" w:hAnsiTheme="minorHAnsi" w:cstheme="minorHAnsi"/>
          <w:color w:val="000000"/>
          <w:sz w:val="22"/>
        </w:rPr>
        <w:t>2,212</w:t>
      </w:r>
      <w:r w:rsidRPr="002B3C0C">
        <w:rPr>
          <w:rFonts w:asciiTheme="minorHAnsi" w:hAnsiTheme="minorHAnsi" w:cstheme="minorHAnsi"/>
          <w:color w:val="000000"/>
          <w:sz w:val="22"/>
        </w:rPr>
        <w:t>.</w:t>
      </w:r>
      <w:r w:rsidR="00BD3469">
        <w:rPr>
          <w:rFonts w:asciiTheme="minorHAnsi" w:hAnsiTheme="minorHAnsi" w:cstheme="minorHAnsi"/>
          <w:color w:val="000000"/>
          <w:sz w:val="22"/>
        </w:rPr>
        <w:t>80</w:t>
      </w:r>
      <w:r w:rsidRPr="002B3C0C">
        <w:rPr>
          <w:rFonts w:asciiTheme="minorHAnsi" w:hAnsiTheme="minorHAnsi" w:cstheme="minorHAnsi"/>
          <w:color w:val="000000"/>
          <w:sz w:val="22"/>
        </w:rPr>
        <w:t xml:space="preserve"> million.</w:t>
      </w:r>
    </w:p>
    <w:p w14:paraId="00956073" w14:textId="77777777" w:rsidR="00C130CA" w:rsidRDefault="00C130CA" w:rsidP="00A910DA">
      <w:pPr>
        <w:pStyle w:val="CommentText"/>
        <w:spacing w:after="0"/>
        <w:rPr>
          <w:rFonts w:asciiTheme="minorHAnsi" w:hAnsiTheme="minorHAnsi" w:cstheme="minorHAnsi"/>
          <w:color w:val="000000"/>
          <w:sz w:val="22"/>
        </w:rPr>
      </w:pPr>
    </w:p>
    <w:p w14:paraId="51E0A0CA" w14:textId="77777777" w:rsidR="00A910DA" w:rsidRDefault="00A910DA" w:rsidP="0034313C">
      <w:pPr>
        <w:autoSpaceDE w:val="0"/>
        <w:autoSpaceDN w:val="0"/>
        <w:adjustRightInd w:val="0"/>
        <w:spacing w:after="0" w:line="240" w:lineRule="auto"/>
        <w:rPr>
          <w:rFonts w:ascii="Arial" w:hAnsi="Arial" w:cs="Arial"/>
          <w:color w:val="000000"/>
          <w:sz w:val="18"/>
          <w:szCs w:val="18"/>
        </w:rPr>
      </w:pPr>
    </w:p>
    <w:p w14:paraId="45F4A738" w14:textId="77777777" w:rsidR="00435C5F" w:rsidRDefault="00435C5F" w:rsidP="0034313C">
      <w:pPr>
        <w:autoSpaceDE w:val="0"/>
        <w:autoSpaceDN w:val="0"/>
        <w:adjustRightInd w:val="0"/>
        <w:spacing w:after="0" w:line="240" w:lineRule="auto"/>
        <w:rPr>
          <w:rFonts w:ascii="Arial" w:hAnsi="Arial" w:cs="Arial"/>
          <w:color w:val="000000"/>
          <w:sz w:val="18"/>
          <w:szCs w:val="18"/>
        </w:rPr>
      </w:pPr>
    </w:p>
    <w:p w14:paraId="55BFE56F" w14:textId="77777777" w:rsidR="00435C5F" w:rsidRPr="0034313C" w:rsidRDefault="00435C5F" w:rsidP="0034313C">
      <w:pPr>
        <w:autoSpaceDE w:val="0"/>
        <w:autoSpaceDN w:val="0"/>
        <w:adjustRightInd w:val="0"/>
        <w:spacing w:after="0" w:line="240" w:lineRule="auto"/>
        <w:rPr>
          <w:rFonts w:ascii="Arial" w:hAnsi="Arial" w:cs="Arial"/>
          <w:color w:val="000000"/>
          <w:sz w:val="18"/>
          <w:szCs w:val="18"/>
        </w:rPr>
      </w:pPr>
    </w:p>
    <w:tbl>
      <w:tblPr>
        <w:tblStyle w:val="TableGrid"/>
        <w:tblW w:w="10098" w:type="dxa"/>
        <w:tblLayout w:type="fixed"/>
        <w:tblLook w:val="04A0" w:firstRow="1" w:lastRow="0" w:firstColumn="1" w:lastColumn="0" w:noHBand="0" w:noVBand="1"/>
      </w:tblPr>
      <w:tblGrid>
        <w:gridCol w:w="2524"/>
        <w:gridCol w:w="2525"/>
        <w:gridCol w:w="2524"/>
        <w:gridCol w:w="2525"/>
      </w:tblGrid>
      <w:tr w:rsidR="00A910DA" w:rsidRPr="007142C6" w14:paraId="47DBAC02" w14:textId="77777777" w:rsidTr="002B3C0C">
        <w:trPr>
          <w:trHeight w:val="512"/>
        </w:trPr>
        <w:tc>
          <w:tcPr>
            <w:tcW w:w="10098" w:type="dxa"/>
            <w:gridSpan w:val="4"/>
            <w:shd w:val="clear" w:color="auto" w:fill="D9D9D9" w:themeFill="background1" w:themeFillShade="D9"/>
            <w:vAlign w:val="center"/>
          </w:tcPr>
          <w:p w14:paraId="318545D1" w14:textId="4F8BE456" w:rsidR="00A910DA" w:rsidRPr="00A9692C" w:rsidRDefault="00A910DA" w:rsidP="0034313C">
            <w:pPr>
              <w:autoSpaceDE w:val="0"/>
              <w:autoSpaceDN w:val="0"/>
              <w:adjustRightInd w:val="0"/>
              <w:spacing w:after="0" w:line="240" w:lineRule="auto"/>
              <w:jc w:val="center"/>
              <w:rPr>
                <w:rFonts w:asciiTheme="minorHAnsi" w:hAnsiTheme="minorHAnsi"/>
                <w:b/>
                <w:sz w:val="22"/>
              </w:rPr>
            </w:pPr>
            <w:r w:rsidRPr="00A9692C">
              <w:rPr>
                <w:rFonts w:asciiTheme="minorHAnsi" w:hAnsiTheme="minorHAnsi"/>
                <w:b/>
                <w:sz w:val="22"/>
              </w:rPr>
              <w:lastRenderedPageBreak/>
              <w:t xml:space="preserve">FY </w:t>
            </w:r>
            <w:r w:rsidRPr="00A9692C">
              <w:rPr>
                <w:rFonts w:asciiTheme="minorHAnsi" w:hAnsiTheme="minorHAnsi" w:cs="Arial"/>
                <w:b/>
                <w:bCs/>
                <w:sz w:val="22"/>
              </w:rPr>
              <w:t>201</w:t>
            </w:r>
            <w:r w:rsidR="00A9692C" w:rsidRPr="00A9692C">
              <w:rPr>
                <w:rFonts w:asciiTheme="minorHAnsi" w:hAnsiTheme="minorHAnsi" w:cs="Arial"/>
                <w:b/>
                <w:bCs/>
                <w:sz w:val="22"/>
              </w:rPr>
              <w:t>6</w:t>
            </w:r>
            <w:r w:rsidRPr="00A9692C">
              <w:rPr>
                <w:rFonts w:asciiTheme="minorHAnsi" w:hAnsiTheme="minorHAnsi"/>
                <w:b/>
                <w:sz w:val="22"/>
              </w:rPr>
              <w:t xml:space="preserve"> Pell Grant Estimate</w:t>
            </w:r>
          </w:p>
          <w:p w14:paraId="60D433FF" w14:textId="77777777" w:rsidR="00A910DA" w:rsidRPr="00CD6607" w:rsidRDefault="00A910DA" w:rsidP="0034313C">
            <w:pPr>
              <w:autoSpaceDE w:val="0"/>
              <w:autoSpaceDN w:val="0"/>
              <w:adjustRightInd w:val="0"/>
              <w:spacing w:after="0" w:line="240" w:lineRule="auto"/>
              <w:jc w:val="center"/>
              <w:rPr>
                <w:rStyle w:val="qowt-font3-arial"/>
                <w:rFonts w:asciiTheme="minorHAnsi" w:hAnsiTheme="minorHAnsi"/>
              </w:rPr>
            </w:pPr>
            <w:r w:rsidRPr="00A9692C">
              <w:rPr>
                <w:rFonts w:asciiTheme="minorHAnsi" w:hAnsiTheme="minorHAnsi"/>
                <w:b/>
                <w:sz w:val="22"/>
              </w:rPr>
              <w:t>Two-Stage Estimator</w:t>
            </w:r>
          </w:p>
        </w:tc>
      </w:tr>
      <w:tr w:rsidR="00A910DA" w14:paraId="13446551" w14:textId="77777777" w:rsidTr="002B3C0C">
        <w:trPr>
          <w:trHeight w:val="512"/>
        </w:trPr>
        <w:tc>
          <w:tcPr>
            <w:tcW w:w="2524" w:type="dxa"/>
            <w:shd w:val="clear" w:color="auto" w:fill="F2F2F2" w:themeFill="background1" w:themeFillShade="F2"/>
            <w:vAlign w:val="center"/>
          </w:tcPr>
          <w:p w14:paraId="5162918E" w14:textId="77777777" w:rsidR="00A910DA" w:rsidRPr="00A9692C" w:rsidRDefault="00A910DA" w:rsidP="002B3C0C">
            <w:pPr>
              <w:autoSpaceDE w:val="0"/>
              <w:autoSpaceDN w:val="0"/>
              <w:adjustRightInd w:val="0"/>
              <w:spacing w:after="0" w:line="240" w:lineRule="auto"/>
              <w:jc w:val="center"/>
              <w:rPr>
                <w:rFonts w:asciiTheme="minorHAnsi" w:hAnsiTheme="minorHAnsi"/>
                <w:b/>
                <w:szCs w:val="20"/>
              </w:rPr>
            </w:pPr>
            <w:r w:rsidRPr="00A9692C">
              <w:rPr>
                <w:rStyle w:val="qowt-font3-arial"/>
                <w:rFonts w:asciiTheme="minorHAnsi" w:hAnsiTheme="minorHAnsi"/>
                <w:b/>
                <w:szCs w:val="20"/>
              </w:rPr>
              <w:t>Point Estimate of Improper Payment (in millions)</w:t>
            </w:r>
          </w:p>
        </w:tc>
        <w:tc>
          <w:tcPr>
            <w:tcW w:w="2525" w:type="dxa"/>
            <w:shd w:val="clear" w:color="auto" w:fill="F2F2F2" w:themeFill="background1" w:themeFillShade="F2"/>
            <w:vAlign w:val="center"/>
          </w:tcPr>
          <w:p w14:paraId="4D76E3B4" w14:textId="77777777" w:rsidR="00A910DA" w:rsidRPr="00A9692C" w:rsidRDefault="00A910DA" w:rsidP="002B3C0C">
            <w:pPr>
              <w:autoSpaceDE w:val="0"/>
              <w:autoSpaceDN w:val="0"/>
              <w:adjustRightInd w:val="0"/>
              <w:spacing w:after="0" w:line="240" w:lineRule="auto"/>
              <w:jc w:val="center"/>
              <w:rPr>
                <w:rFonts w:asciiTheme="minorHAnsi" w:hAnsiTheme="minorHAnsi"/>
                <w:b/>
                <w:szCs w:val="20"/>
              </w:rPr>
            </w:pPr>
            <w:r w:rsidRPr="00A9692C">
              <w:rPr>
                <w:rStyle w:val="qowt-font3-arial"/>
                <w:rFonts w:asciiTheme="minorHAnsi" w:hAnsiTheme="minorHAnsi"/>
                <w:b/>
                <w:szCs w:val="20"/>
              </w:rPr>
              <w:t>Over-Payment Improper Payment Estimate</w:t>
            </w:r>
          </w:p>
        </w:tc>
        <w:tc>
          <w:tcPr>
            <w:tcW w:w="2524" w:type="dxa"/>
            <w:shd w:val="clear" w:color="auto" w:fill="F2F2F2" w:themeFill="background1" w:themeFillShade="F2"/>
            <w:vAlign w:val="center"/>
          </w:tcPr>
          <w:p w14:paraId="650A588A" w14:textId="77777777" w:rsidR="00A910DA" w:rsidRPr="00A9692C" w:rsidRDefault="00A910DA" w:rsidP="002B3C0C">
            <w:pPr>
              <w:autoSpaceDE w:val="0"/>
              <w:autoSpaceDN w:val="0"/>
              <w:adjustRightInd w:val="0"/>
              <w:spacing w:after="0" w:line="240" w:lineRule="auto"/>
              <w:jc w:val="center"/>
              <w:rPr>
                <w:rFonts w:asciiTheme="minorHAnsi" w:hAnsiTheme="minorHAnsi"/>
                <w:b/>
                <w:szCs w:val="20"/>
              </w:rPr>
            </w:pPr>
            <w:r w:rsidRPr="00A9692C">
              <w:rPr>
                <w:rStyle w:val="qowt-font3-arial"/>
                <w:rFonts w:asciiTheme="minorHAnsi" w:eastAsia="Times New Roman" w:hAnsiTheme="minorHAnsi" w:cs="Times New Roman"/>
                <w:b/>
                <w:szCs w:val="20"/>
              </w:rPr>
              <w:t>Under-Payment Improper Payment Estimate</w:t>
            </w:r>
          </w:p>
        </w:tc>
        <w:tc>
          <w:tcPr>
            <w:tcW w:w="2525" w:type="dxa"/>
            <w:shd w:val="clear" w:color="auto" w:fill="F2F2F2" w:themeFill="background1" w:themeFillShade="F2"/>
            <w:vAlign w:val="center"/>
          </w:tcPr>
          <w:p w14:paraId="58F39267" w14:textId="77777777" w:rsidR="00A910DA" w:rsidRPr="00A9692C" w:rsidRDefault="00A910DA" w:rsidP="002B3C0C">
            <w:pPr>
              <w:autoSpaceDE w:val="0"/>
              <w:autoSpaceDN w:val="0"/>
              <w:adjustRightInd w:val="0"/>
              <w:spacing w:after="0" w:line="240" w:lineRule="auto"/>
              <w:jc w:val="center"/>
              <w:rPr>
                <w:rFonts w:asciiTheme="minorHAnsi" w:hAnsiTheme="minorHAnsi"/>
                <w:b/>
                <w:szCs w:val="20"/>
              </w:rPr>
            </w:pPr>
            <w:r w:rsidRPr="00A9692C">
              <w:rPr>
                <w:rStyle w:val="qowt-font3-arial"/>
                <w:rFonts w:asciiTheme="minorHAnsi" w:hAnsiTheme="minorHAnsi"/>
                <w:b/>
                <w:szCs w:val="20"/>
              </w:rPr>
              <w:t>Point Estimate (as % of Population Total)</w:t>
            </w:r>
          </w:p>
        </w:tc>
      </w:tr>
      <w:tr w:rsidR="00A910DA" w:rsidRPr="008265FC" w14:paraId="61E27D8F" w14:textId="77777777" w:rsidTr="002B3C0C">
        <w:trPr>
          <w:trHeight w:val="242"/>
        </w:trPr>
        <w:tc>
          <w:tcPr>
            <w:tcW w:w="2524" w:type="dxa"/>
            <w:shd w:val="clear" w:color="auto" w:fill="auto"/>
            <w:vAlign w:val="center"/>
          </w:tcPr>
          <w:p w14:paraId="41EF9D7B" w14:textId="44C38AF0" w:rsidR="00A910DA" w:rsidRPr="00BD3469" w:rsidRDefault="00A910DA" w:rsidP="002B3C0C">
            <w:pPr>
              <w:autoSpaceDE w:val="0"/>
              <w:autoSpaceDN w:val="0"/>
              <w:adjustRightInd w:val="0"/>
              <w:spacing w:after="0" w:line="240" w:lineRule="auto"/>
              <w:jc w:val="center"/>
              <w:rPr>
                <w:rStyle w:val="qowt-font3-arial"/>
                <w:rFonts w:asciiTheme="minorHAnsi" w:hAnsiTheme="minorHAnsi" w:cs="Arial"/>
                <w:szCs w:val="20"/>
              </w:rPr>
            </w:pPr>
            <w:r w:rsidRPr="00BD3469">
              <w:rPr>
                <w:rFonts w:asciiTheme="minorHAnsi" w:hAnsiTheme="minorHAnsi" w:cs="Arial"/>
                <w:color w:val="000000"/>
                <w:szCs w:val="20"/>
              </w:rPr>
              <w:t>$</w:t>
            </w:r>
            <w:r w:rsidR="00BD3469" w:rsidRPr="00BD3469">
              <w:rPr>
                <w:rFonts w:asciiTheme="minorHAnsi" w:hAnsiTheme="minorHAnsi" w:cs="Arial"/>
                <w:bCs/>
                <w:szCs w:val="20"/>
              </w:rPr>
              <w:t>2,212.80</w:t>
            </w:r>
          </w:p>
        </w:tc>
        <w:tc>
          <w:tcPr>
            <w:tcW w:w="2525" w:type="dxa"/>
            <w:shd w:val="clear" w:color="auto" w:fill="auto"/>
            <w:vAlign w:val="center"/>
          </w:tcPr>
          <w:p w14:paraId="20795559" w14:textId="0A9B0C55" w:rsidR="00A910DA" w:rsidRPr="00BD3469" w:rsidRDefault="00BD3469" w:rsidP="002B3C0C">
            <w:pPr>
              <w:autoSpaceDE w:val="0"/>
              <w:autoSpaceDN w:val="0"/>
              <w:adjustRightInd w:val="0"/>
              <w:spacing w:after="0" w:line="240" w:lineRule="auto"/>
              <w:jc w:val="center"/>
              <w:rPr>
                <w:rStyle w:val="qowt-font3-arial"/>
                <w:rFonts w:asciiTheme="minorHAnsi" w:hAnsiTheme="minorHAnsi"/>
                <w:szCs w:val="20"/>
              </w:rPr>
            </w:pPr>
            <w:r w:rsidRPr="00BD3469">
              <w:rPr>
                <w:rFonts w:asciiTheme="minorHAnsi" w:eastAsia="Times New Roman" w:hAnsiTheme="minorHAnsi" w:cs="Times New Roman"/>
                <w:color w:val="000000"/>
                <w:szCs w:val="20"/>
              </w:rPr>
              <w:t>$2,025.27</w:t>
            </w:r>
          </w:p>
        </w:tc>
        <w:tc>
          <w:tcPr>
            <w:tcW w:w="2524" w:type="dxa"/>
            <w:shd w:val="clear" w:color="auto" w:fill="auto"/>
            <w:vAlign w:val="center"/>
          </w:tcPr>
          <w:p w14:paraId="69CBECC1" w14:textId="78F83795" w:rsidR="00A910DA" w:rsidRPr="00BD3469" w:rsidRDefault="00BD3469" w:rsidP="001718C3">
            <w:pPr>
              <w:autoSpaceDE w:val="0"/>
              <w:autoSpaceDN w:val="0"/>
              <w:adjustRightInd w:val="0"/>
              <w:spacing w:after="0" w:line="240" w:lineRule="auto"/>
              <w:jc w:val="center"/>
              <w:rPr>
                <w:rStyle w:val="qowt-font3-arial"/>
                <w:rFonts w:asciiTheme="minorHAnsi" w:hAnsiTheme="minorHAnsi"/>
                <w:szCs w:val="20"/>
              </w:rPr>
            </w:pPr>
            <w:r w:rsidRPr="00FD4EA1">
              <w:rPr>
                <w:rFonts w:asciiTheme="minorHAnsi" w:hAnsiTheme="minorHAnsi" w:cs="Arial"/>
                <w:color w:val="000000"/>
                <w:szCs w:val="20"/>
              </w:rPr>
              <w:t>$187.53</w:t>
            </w:r>
          </w:p>
        </w:tc>
        <w:tc>
          <w:tcPr>
            <w:tcW w:w="2525" w:type="dxa"/>
            <w:shd w:val="clear" w:color="auto" w:fill="auto"/>
            <w:vAlign w:val="center"/>
          </w:tcPr>
          <w:p w14:paraId="4F469582" w14:textId="65794331" w:rsidR="00A910DA" w:rsidRPr="00BD3469" w:rsidRDefault="00BD3469" w:rsidP="002B3C0C">
            <w:pPr>
              <w:autoSpaceDE w:val="0"/>
              <w:autoSpaceDN w:val="0"/>
              <w:adjustRightInd w:val="0"/>
              <w:spacing w:after="0" w:line="240" w:lineRule="auto"/>
              <w:jc w:val="center"/>
              <w:rPr>
                <w:rStyle w:val="qowt-font3-arial"/>
                <w:rFonts w:asciiTheme="minorHAnsi" w:hAnsiTheme="minorHAnsi"/>
                <w:szCs w:val="20"/>
              </w:rPr>
            </w:pPr>
            <w:r w:rsidRPr="00BD3469">
              <w:rPr>
                <w:rFonts w:asciiTheme="minorHAnsi" w:hAnsiTheme="minorHAnsi" w:cs="Arial"/>
                <w:bCs/>
                <w:color w:val="000000"/>
                <w:szCs w:val="20"/>
              </w:rPr>
              <w:t>7.85</w:t>
            </w:r>
            <w:r w:rsidR="00A910DA" w:rsidRPr="00BD3469">
              <w:rPr>
                <w:rFonts w:asciiTheme="minorHAnsi" w:hAnsiTheme="minorHAnsi"/>
                <w:color w:val="000000"/>
                <w:szCs w:val="20"/>
              </w:rPr>
              <w:t>%</w:t>
            </w:r>
          </w:p>
        </w:tc>
      </w:tr>
    </w:tbl>
    <w:p w14:paraId="48F7AEEA" w14:textId="77777777" w:rsidR="00A910DA" w:rsidRPr="00CF5838" w:rsidRDefault="00A910DA" w:rsidP="00A910DA">
      <w:pPr>
        <w:pStyle w:val="CommentText"/>
        <w:spacing w:after="0"/>
        <w:rPr>
          <w:sz w:val="22"/>
        </w:rPr>
      </w:pPr>
    </w:p>
    <w:p w14:paraId="60FE2A49" w14:textId="77777777" w:rsidR="00A910DA" w:rsidRPr="002B3C0C" w:rsidRDefault="00A910DA" w:rsidP="00A910DA">
      <w:pPr>
        <w:pStyle w:val="CommentText"/>
        <w:spacing w:after="0"/>
        <w:rPr>
          <w:rFonts w:asciiTheme="minorHAnsi" w:hAnsiTheme="minorHAnsi" w:cstheme="minorHAnsi"/>
          <w:b/>
          <w:color w:val="000000"/>
          <w:sz w:val="22"/>
          <w:szCs w:val="22"/>
        </w:rPr>
      </w:pPr>
      <w:r w:rsidRPr="002B3C0C">
        <w:rPr>
          <w:rFonts w:asciiTheme="minorHAnsi" w:hAnsiTheme="minorHAnsi" w:cstheme="minorHAnsi"/>
          <w:b/>
          <w:color w:val="000000"/>
          <w:sz w:val="22"/>
        </w:rPr>
        <w:t>Direct Loan Program</w:t>
      </w:r>
    </w:p>
    <w:p w14:paraId="11A92636" w14:textId="77777777" w:rsidR="00A910DA" w:rsidRPr="002B3C0C" w:rsidRDefault="00A910DA" w:rsidP="00A910DA">
      <w:pPr>
        <w:pStyle w:val="CommentText"/>
        <w:spacing w:after="0"/>
        <w:rPr>
          <w:rFonts w:asciiTheme="minorHAnsi" w:hAnsiTheme="minorHAnsi" w:cstheme="minorHAnsi"/>
          <w:color w:val="000000"/>
          <w:sz w:val="22"/>
          <w:szCs w:val="22"/>
        </w:rPr>
      </w:pPr>
    </w:p>
    <w:p w14:paraId="0E6C6C4B" w14:textId="78139693" w:rsidR="00C130CA" w:rsidRDefault="00A910DA" w:rsidP="00A910DA">
      <w:pPr>
        <w:autoSpaceDE w:val="0"/>
        <w:autoSpaceDN w:val="0"/>
        <w:adjustRightInd w:val="0"/>
        <w:spacing w:after="0" w:line="240" w:lineRule="auto"/>
        <w:rPr>
          <w:rFonts w:asciiTheme="minorHAnsi" w:hAnsiTheme="minorHAnsi" w:cstheme="minorHAnsi"/>
          <w:color w:val="000000"/>
          <w:sz w:val="22"/>
        </w:rPr>
      </w:pPr>
      <w:r w:rsidRPr="002B3C0C">
        <w:rPr>
          <w:rFonts w:asciiTheme="minorHAnsi" w:hAnsiTheme="minorHAnsi" w:cstheme="minorHAnsi"/>
          <w:color w:val="000000"/>
          <w:sz w:val="22"/>
        </w:rPr>
        <w:t>The FY 201</w:t>
      </w:r>
      <w:r w:rsidR="00A9692C">
        <w:rPr>
          <w:rFonts w:asciiTheme="minorHAnsi" w:hAnsiTheme="minorHAnsi" w:cstheme="minorHAnsi"/>
          <w:color w:val="000000"/>
          <w:sz w:val="22"/>
        </w:rPr>
        <w:t>6</w:t>
      </w:r>
      <w:r w:rsidRPr="002B3C0C">
        <w:rPr>
          <w:rFonts w:asciiTheme="minorHAnsi" w:hAnsiTheme="minorHAnsi" w:cstheme="minorHAnsi"/>
          <w:color w:val="000000"/>
          <w:sz w:val="22"/>
        </w:rPr>
        <w:t xml:space="preserve"> DL improper payment estimate was based on tests of the three components of the DL program: 1) Program Reviews conducted by the Program Compliance – SESG at a sample of schools for disbursements to students, as described in the Pell Grant section; 2) tests of loan consolidation overpayment and underpayment activity; and 3) tests of loan refund activity. Improper payment estimates were calculated for the three components (student disbursements (loan originations), consolidations, and refunds). </w:t>
      </w:r>
    </w:p>
    <w:p w14:paraId="758AED87" w14:textId="77777777" w:rsidR="00C130CA" w:rsidRDefault="00C130CA" w:rsidP="00A910DA">
      <w:pPr>
        <w:autoSpaceDE w:val="0"/>
        <w:autoSpaceDN w:val="0"/>
        <w:adjustRightInd w:val="0"/>
        <w:spacing w:after="0" w:line="240" w:lineRule="auto"/>
        <w:rPr>
          <w:rFonts w:asciiTheme="minorHAnsi" w:hAnsiTheme="minorHAnsi" w:cstheme="minorHAnsi"/>
          <w:color w:val="000000"/>
          <w:sz w:val="22"/>
        </w:rPr>
      </w:pPr>
    </w:p>
    <w:p w14:paraId="49014637" w14:textId="61AB3822" w:rsidR="00C130CA" w:rsidRDefault="00C130CA" w:rsidP="00C130CA">
      <w:pPr>
        <w:pStyle w:val="CommentText"/>
        <w:spacing w:after="0"/>
        <w:rPr>
          <w:rFonts w:asciiTheme="minorHAnsi" w:hAnsiTheme="minorHAnsi" w:cstheme="minorHAnsi"/>
          <w:color w:val="000000"/>
          <w:sz w:val="22"/>
          <w:szCs w:val="22"/>
        </w:rPr>
      </w:pPr>
      <w:r>
        <w:rPr>
          <w:rFonts w:asciiTheme="minorHAnsi" w:hAnsiTheme="minorHAnsi" w:cstheme="minorHAnsi"/>
          <w:color w:val="000000"/>
          <w:sz w:val="22"/>
          <w:szCs w:val="22"/>
        </w:rPr>
        <w:t>To calculate t</w:t>
      </w:r>
      <w:r w:rsidRPr="002B3C0C">
        <w:rPr>
          <w:rFonts w:asciiTheme="minorHAnsi" w:hAnsiTheme="minorHAnsi" w:cstheme="minorHAnsi"/>
          <w:color w:val="000000"/>
          <w:sz w:val="22"/>
        </w:rPr>
        <w:t>he DL Program Review estimate</w:t>
      </w:r>
      <w:r>
        <w:rPr>
          <w:rFonts w:asciiTheme="minorHAnsi" w:hAnsiTheme="minorHAnsi" w:cstheme="minorHAnsi"/>
          <w:color w:val="000000"/>
          <w:sz w:val="22"/>
        </w:rPr>
        <w:t>,</w:t>
      </w:r>
      <w:r w:rsidRPr="002B3C0C">
        <w:rPr>
          <w:rFonts w:asciiTheme="minorHAnsi" w:hAnsiTheme="minorHAnsi" w:cstheme="minorHAnsi"/>
          <w:color w:val="000000"/>
          <w:sz w:val="22"/>
        </w:rPr>
        <w:t xml:space="preserve"> </w:t>
      </w:r>
      <w:r>
        <w:rPr>
          <w:rFonts w:asciiTheme="minorHAnsi" w:hAnsiTheme="minorHAnsi" w:cstheme="minorHAnsi"/>
          <w:color w:val="000000"/>
          <w:sz w:val="22"/>
          <w:szCs w:val="22"/>
        </w:rPr>
        <w:t>t</w:t>
      </w:r>
      <w:r w:rsidRPr="002B3C0C">
        <w:rPr>
          <w:rFonts w:asciiTheme="minorHAnsi" w:hAnsiTheme="minorHAnsi" w:cstheme="minorHAnsi"/>
          <w:color w:val="000000"/>
          <w:sz w:val="22"/>
          <w:szCs w:val="22"/>
        </w:rPr>
        <w:t>he sample obtained from SESG Program Reviews</w:t>
      </w:r>
      <w:r w:rsidRPr="002B3C0C">
        <w:rPr>
          <w:rFonts w:asciiTheme="minorHAnsi" w:hAnsiTheme="minorHAnsi" w:cstheme="minorHAnsi"/>
          <w:color w:val="000000"/>
          <w:sz w:val="22"/>
        </w:rPr>
        <w:t xml:space="preserve"> was extrapolated</w:t>
      </w:r>
      <w:r w:rsidRPr="002B3C0C">
        <w:rPr>
          <w:rFonts w:asciiTheme="minorHAnsi" w:hAnsiTheme="minorHAnsi" w:cstheme="minorHAnsi"/>
          <w:color w:val="000000"/>
          <w:sz w:val="22"/>
          <w:szCs w:val="22"/>
        </w:rPr>
        <w:t xml:space="preserve"> to the entire population of schools </w:t>
      </w:r>
      <w:r>
        <w:rPr>
          <w:rFonts w:asciiTheme="minorHAnsi" w:hAnsiTheme="minorHAnsi" w:cstheme="minorHAnsi"/>
          <w:color w:val="000000"/>
          <w:sz w:val="22"/>
          <w:szCs w:val="22"/>
        </w:rPr>
        <w:t>that disbursed</w:t>
      </w:r>
      <w:r w:rsidRPr="002B3C0C">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DL </w:t>
      </w:r>
      <w:r w:rsidRPr="002B3C0C">
        <w:rPr>
          <w:rFonts w:asciiTheme="minorHAnsi" w:hAnsiTheme="minorHAnsi" w:cstheme="minorHAnsi"/>
          <w:color w:val="000000"/>
          <w:sz w:val="22"/>
          <w:szCs w:val="22"/>
        </w:rPr>
        <w:t>funding during the period under review.</w:t>
      </w:r>
      <w:r w:rsidRPr="002B3C0C">
        <w:rPr>
          <w:rFonts w:asciiTheme="minorHAnsi" w:hAnsiTheme="minorHAnsi" w:cstheme="minorHAnsi"/>
          <w:color w:val="000000"/>
          <w:sz w:val="22"/>
        </w:rPr>
        <w:t xml:space="preserve"> </w:t>
      </w:r>
      <w:r>
        <w:rPr>
          <w:rFonts w:asciiTheme="minorHAnsi" w:hAnsiTheme="minorHAnsi" w:cstheme="minorHAnsi"/>
          <w:color w:val="000000"/>
          <w:sz w:val="22"/>
          <w:szCs w:val="22"/>
        </w:rPr>
        <w:t xml:space="preserve">Prior to extrapolating estimated improper payments for sampled schools </w:t>
      </w:r>
      <w:r w:rsidRPr="002B3C0C">
        <w:rPr>
          <w:rFonts w:asciiTheme="minorHAnsi" w:hAnsiTheme="minorHAnsi" w:cstheme="minorHAnsi"/>
          <w:color w:val="000000"/>
          <w:sz w:val="22"/>
          <w:szCs w:val="22"/>
        </w:rPr>
        <w:t xml:space="preserve">to </w:t>
      </w:r>
      <w:r>
        <w:rPr>
          <w:rFonts w:asciiTheme="minorHAnsi" w:hAnsiTheme="minorHAnsi" w:cstheme="minorHAnsi"/>
          <w:color w:val="000000"/>
          <w:sz w:val="22"/>
          <w:szCs w:val="22"/>
        </w:rPr>
        <w:t>total DL disbursements, t</w:t>
      </w:r>
      <w:r w:rsidRPr="00E53978">
        <w:rPr>
          <w:rFonts w:asciiTheme="minorHAnsi" w:hAnsiTheme="minorHAnsi" w:cstheme="minorHAnsi"/>
          <w:color w:val="000000"/>
          <w:sz w:val="22"/>
          <w:szCs w:val="22"/>
        </w:rPr>
        <w:t xml:space="preserve">otal </w:t>
      </w:r>
      <w:r>
        <w:rPr>
          <w:rFonts w:asciiTheme="minorHAnsi" w:hAnsiTheme="minorHAnsi" w:cstheme="minorHAnsi"/>
          <w:color w:val="000000"/>
          <w:sz w:val="22"/>
          <w:szCs w:val="22"/>
        </w:rPr>
        <w:t>DL</w:t>
      </w:r>
      <w:r w:rsidRPr="00E53978">
        <w:rPr>
          <w:rFonts w:asciiTheme="minorHAnsi" w:hAnsiTheme="minorHAnsi" w:cstheme="minorHAnsi"/>
          <w:color w:val="000000"/>
          <w:sz w:val="22"/>
          <w:szCs w:val="22"/>
        </w:rPr>
        <w:t xml:space="preserve"> school- and program-level improper payments identified </w:t>
      </w:r>
      <w:r>
        <w:rPr>
          <w:rFonts w:asciiTheme="minorHAnsi" w:hAnsiTheme="minorHAnsi" w:cstheme="minorHAnsi"/>
          <w:color w:val="000000"/>
          <w:sz w:val="22"/>
          <w:szCs w:val="22"/>
        </w:rPr>
        <w:t xml:space="preserve">within Final Program Review Determinations were added </w:t>
      </w:r>
      <w:r w:rsidRPr="00E53978">
        <w:rPr>
          <w:rFonts w:asciiTheme="minorHAnsi" w:hAnsiTheme="minorHAnsi" w:cstheme="minorHAnsi"/>
          <w:color w:val="000000"/>
          <w:sz w:val="22"/>
          <w:szCs w:val="22"/>
        </w:rPr>
        <w:t>to the total estimated improper payments for the corresponding schoo</w:t>
      </w:r>
      <w:r>
        <w:rPr>
          <w:rFonts w:asciiTheme="minorHAnsi" w:hAnsiTheme="minorHAnsi" w:cstheme="minorHAnsi"/>
          <w:color w:val="000000"/>
          <w:sz w:val="22"/>
          <w:szCs w:val="22"/>
        </w:rPr>
        <w:t>l.</w:t>
      </w:r>
    </w:p>
    <w:p w14:paraId="6DC21089" w14:textId="77777777" w:rsidR="00C130CA" w:rsidRDefault="00C130CA" w:rsidP="00A910DA">
      <w:pPr>
        <w:autoSpaceDE w:val="0"/>
        <w:autoSpaceDN w:val="0"/>
        <w:adjustRightInd w:val="0"/>
        <w:spacing w:after="0" w:line="240" w:lineRule="auto"/>
        <w:rPr>
          <w:rFonts w:asciiTheme="minorHAnsi" w:hAnsiTheme="minorHAnsi" w:cstheme="minorHAnsi"/>
          <w:color w:val="000000"/>
          <w:sz w:val="22"/>
        </w:rPr>
      </w:pPr>
    </w:p>
    <w:p w14:paraId="2337E164" w14:textId="22847533" w:rsidR="000E7E6D" w:rsidRPr="002B3C0C" w:rsidRDefault="00C130CA" w:rsidP="00A910DA">
      <w:pPr>
        <w:autoSpaceDE w:val="0"/>
        <w:autoSpaceDN w:val="0"/>
        <w:adjustRightInd w:val="0"/>
        <w:spacing w:after="0" w:line="240" w:lineRule="auto"/>
        <w:rPr>
          <w:rFonts w:asciiTheme="minorHAnsi" w:hAnsiTheme="minorHAnsi" w:cstheme="minorHAnsi"/>
          <w:sz w:val="22"/>
        </w:rPr>
      </w:pPr>
      <w:r w:rsidRPr="002B3C0C">
        <w:rPr>
          <w:rFonts w:asciiTheme="minorHAnsi" w:hAnsiTheme="minorHAnsi" w:cstheme="minorHAnsi"/>
          <w:color w:val="000000"/>
          <w:sz w:val="22"/>
        </w:rPr>
        <w:t xml:space="preserve">The DL Program Review estimate </w:t>
      </w:r>
      <w:r w:rsidR="00A910DA" w:rsidRPr="002B3C0C">
        <w:rPr>
          <w:rFonts w:asciiTheme="minorHAnsi" w:hAnsiTheme="minorHAnsi" w:cstheme="minorHAnsi"/>
          <w:color w:val="000000"/>
          <w:sz w:val="22"/>
        </w:rPr>
        <w:t>was combined with two independent statistical sample estimates derived from the sampling of DL loan consolidations and refund payments. One overall estimate was then calculated which combined the three separate estimates as if they were cumulative.</w:t>
      </w:r>
      <w:r w:rsidR="00A910DA" w:rsidRPr="002B3C0C">
        <w:rPr>
          <w:rFonts w:asciiTheme="minorHAnsi" w:hAnsiTheme="minorHAnsi" w:cstheme="minorHAnsi"/>
          <w:sz w:val="22"/>
        </w:rPr>
        <w:t xml:space="preserve">  </w:t>
      </w:r>
    </w:p>
    <w:p w14:paraId="6EA266F9" w14:textId="77777777" w:rsidR="002E6247" w:rsidRDefault="002E6247" w:rsidP="00A910DA">
      <w:pPr>
        <w:autoSpaceDE w:val="0"/>
        <w:autoSpaceDN w:val="0"/>
        <w:adjustRightInd w:val="0"/>
        <w:spacing w:after="0" w:line="240" w:lineRule="auto"/>
        <w:rPr>
          <w:rFonts w:ascii="Arial" w:hAnsi="Arial"/>
          <w:color w:val="000000"/>
          <w:sz w:val="22"/>
        </w:rPr>
      </w:pPr>
    </w:p>
    <w:tbl>
      <w:tblPr>
        <w:tblStyle w:val="TableGrid"/>
        <w:tblW w:w="10080" w:type="dxa"/>
        <w:tblLook w:val="04A0" w:firstRow="1" w:lastRow="0" w:firstColumn="1" w:lastColumn="0" w:noHBand="0" w:noVBand="1"/>
      </w:tblPr>
      <w:tblGrid>
        <w:gridCol w:w="2016"/>
        <w:gridCol w:w="2016"/>
        <w:gridCol w:w="2016"/>
        <w:gridCol w:w="2016"/>
        <w:gridCol w:w="2016"/>
      </w:tblGrid>
      <w:tr w:rsidR="00A910DA" w14:paraId="5003A35B" w14:textId="77777777" w:rsidTr="002B3C0C">
        <w:trPr>
          <w:trHeight w:val="170"/>
        </w:trPr>
        <w:tc>
          <w:tcPr>
            <w:tcW w:w="10080" w:type="dxa"/>
            <w:gridSpan w:val="5"/>
            <w:shd w:val="clear" w:color="auto" w:fill="D9D9D9" w:themeFill="background1" w:themeFillShade="D9"/>
          </w:tcPr>
          <w:p w14:paraId="67555751" w14:textId="77777777" w:rsidR="00A910DA" w:rsidRPr="00A9692C" w:rsidRDefault="00A910DA" w:rsidP="002B3C0C">
            <w:pPr>
              <w:autoSpaceDE w:val="0"/>
              <w:autoSpaceDN w:val="0"/>
              <w:adjustRightInd w:val="0"/>
              <w:spacing w:after="0" w:line="240" w:lineRule="auto"/>
              <w:jc w:val="center"/>
              <w:rPr>
                <w:rFonts w:asciiTheme="minorHAnsi" w:hAnsiTheme="minorHAnsi"/>
                <w:b/>
                <w:sz w:val="22"/>
              </w:rPr>
            </w:pPr>
            <w:r w:rsidRPr="00A9692C">
              <w:rPr>
                <w:rFonts w:asciiTheme="minorHAnsi" w:hAnsiTheme="minorHAnsi"/>
                <w:b/>
                <w:color w:val="000000"/>
                <w:sz w:val="22"/>
              </w:rPr>
              <w:t>Direct Loan Program Sampling</w:t>
            </w:r>
          </w:p>
        </w:tc>
      </w:tr>
      <w:tr w:rsidR="00A910DA" w14:paraId="71489F9A" w14:textId="77777777" w:rsidTr="0034313C">
        <w:trPr>
          <w:trHeight w:val="512"/>
        </w:trPr>
        <w:tc>
          <w:tcPr>
            <w:tcW w:w="2016" w:type="dxa"/>
            <w:shd w:val="clear" w:color="auto" w:fill="F2F2F2" w:themeFill="background1" w:themeFillShade="F2"/>
            <w:vAlign w:val="center"/>
          </w:tcPr>
          <w:p w14:paraId="369EA73C" w14:textId="77777777" w:rsidR="00A910DA" w:rsidRPr="00A9692C" w:rsidRDefault="00A910DA" w:rsidP="0034313C">
            <w:pPr>
              <w:autoSpaceDE w:val="0"/>
              <w:autoSpaceDN w:val="0"/>
              <w:adjustRightInd w:val="0"/>
              <w:spacing w:after="0" w:line="240" w:lineRule="auto"/>
              <w:jc w:val="center"/>
              <w:rPr>
                <w:rFonts w:asciiTheme="minorHAnsi" w:hAnsiTheme="minorHAnsi" w:cs="Arial"/>
                <w:b/>
                <w:bCs/>
                <w:color w:val="000000"/>
                <w:szCs w:val="20"/>
              </w:rPr>
            </w:pPr>
            <w:r w:rsidRPr="00A9692C">
              <w:rPr>
                <w:rFonts w:asciiTheme="minorHAnsi" w:hAnsiTheme="minorHAnsi" w:cs="Arial"/>
                <w:b/>
                <w:bCs/>
                <w:szCs w:val="20"/>
              </w:rPr>
              <w:t>Payment Type</w:t>
            </w:r>
          </w:p>
        </w:tc>
        <w:tc>
          <w:tcPr>
            <w:tcW w:w="2016" w:type="dxa"/>
            <w:shd w:val="clear" w:color="auto" w:fill="F2F2F2" w:themeFill="background1" w:themeFillShade="F2"/>
            <w:vAlign w:val="center"/>
          </w:tcPr>
          <w:p w14:paraId="7F828614" w14:textId="77777777" w:rsidR="00A910DA" w:rsidRPr="00A9692C" w:rsidRDefault="00A910DA" w:rsidP="0034313C">
            <w:pPr>
              <w:autoSpaceDE w:val="0"/>
              <w:autoSpaceDN w:val="0"/>
              <w:adjustRightInd w:val="0"/>
              <w:spacing w:after="0" w:line="240" w:lineRule="auto"/>
              <w:jc w:val="center"/>
              <w:rPr>
                <w:rFonts w:asciiTheme="minorHAnsi" w:hAnsiTheme="minorHAnsi" w:cs="Arial"/>
                <w:b/>
                <w:bCs/>
                <w:szCs w:val="20"/>
              </w:rPr>
            </w:pPr>
            <w:r w:rsidRPr="00A9692C">
              <w:rPr>
                <w:rFonts w:asciiTheme="minorHAnsi" w:hAnsiTheme="minorHAnsi" w:cs="Arial"/>
                <w:b/>
                <w:bCs/>
                <w:szCs w:val="20"/>
              </w:rPr>
              <w:t>Sampling Methodology</w:t>
            </w:r>
          </w:p>
        </w:tc>
        <w:tc>
          <w:tcPr>
            <w:tcW w:w="2016" w:type="dxa"/>
            <w:shd w:val="clear" w:color="auto" w:fill="F2F2F2" w:themeFill="background1" w:themeFillShade="F2"/>
            <w:vAlign w:val="center"/>
          </w:tcPr>
          <w:p w14:paraId="4D5EB2F0" w14:textId="77777777" w:rsidR="00A910DA" w:rsidRPr="00A9692C" w:rsidRDefault="00A910DA" w:rsidP="0034313C">
            <w:pPr>
              <w:autoSpaceDE w:val="0"/>
              <w:autoSpaceDN w:val="0"/>
              <w:adjustRightInd w:val="0"/>
              <w:spacing w:after="0" w:line="240" w:lineRule="auto"/>
              <w:jc w:val="center"/>
              <w:rPr>
                <w:rFonts w:asciiTheme="minorHAnsi" w:hAnsiTheme="minorHAnsi" w:cs="Arial"/>
                <w:b/>
                <w:bCs/>
                <w:color w:val="000000"/>
                <w:szCs w:val="20"/>
              </w:rPr>
            </w:pPr>
            <w:r w:rsidRPr="00A9692C">
              <w:rPr>
                <w:rFonts w:asciiTheme="minorHAnsi" w:hAnsiTheme="minorHAnsi" w:cs="Arial"/>
                <w:b/>
                <w:bCs/>
                <w:szCs w:val="20"/>
              </w:rPr>
              <w:t>Extrapolation Methodology</w:t>
            </w:r>
          </w:p>
        </w:tc>
        <w:tc>
          <w:tcPr>
            <w:tcW w:w="2016" w:type="dxa"/>
            <w:shd w:val="clear" w:color="auto" w:fill="F2F2F2" w:themeFill="background1" w:themeFillShade="F2"/>
            <w:vAlign w:val="center"/>
          </w:tcPr>
          <w:p w14:paraId="31D88A1D" w14:textId="1B9D5339" w:rsidR="00A910DA" w:rsidRPr="00A9692C" w:rsidRDefault="00A910DA" w:rsidP="0034313C">
            <w:pPr>
              <w:autoSpaceDE w:val="0"/>
              <w:autoSpaceDN w:val="0"/>
              <w:adjustRightInd w:val="0"/>
              <w:spacing w:after="0" w:line="240" w:lineRule="auto"/>
              <w:jc w:val="center"/>
              <w:rPr>
                <w:rFonts w:asciiTheme="minorHAnsi" w:hAnsiTheme="minorHAnsi" w:cs="Arial"/>
                <w:b/>
                <w:bCs/>
                <w:color w:val="000000"/>
                <w:szCs w:val="20"/>
              </w:rPr>
            </w:pPr>
            <w:r w:rsidRPr="00A9692C">
              <w:rPr>
                <w:rFonts w:asciiTheme="minorHAnsi" w:hAnsiTheme="minorHAnsi" w:cs="Arial"/>
                <w:b/>
                <w:bCs/>
                <w:szCs w:val="20"/>
              </w:rPr>
              <w:t>Estimated Number of Loan Recipients</w:t>
            </w:r>
          </w:p>
        </w:tc>
        <w:tc>
          <w:tcPr>
            <w:tcW w:w="2016" w:type="dxa"/>
            <w:shd w:val="clear" w:color="auto" w:fill="F2F2F2" w:themeFill="background1" w:themeFillShade="F2"/>
            <w:vAlign w:val="center"/>
          </w:tcPr>
          <w:p w14:paraId="5B373DBF" w14:textId="77777777" w:rsidR="00A910DA" w:rsidRPr="00A9692C" w:rsidRDefault="00A910DA" w:rsidP="0034313C">
            <w:pPr>
              <w:autoSpaceDE w:val="0"/>
              <w:autoSpaceDN w:val="0"/>
              <w:adjustRightInd w:val="0"/>
              <w:spacing w:after="0" w:line="240" w:lineRule="auto"/>
              <w:jc w:val="center"/>
              <w:rPr>
                <w:rFonts w:asciiTheme="minorHAnsi" w:hAnsiTheme="minorHAnsi" w:cs="Arial"/>
                <w:b/>
                <w:bCs/>
                <w:color w:val="000000"/>
                <w:szCs w:val="20"/>
              </w:rPr>
            </w:pPr>
            <w:r w:rsidRPr="00A9692C">
              <w:rPr>
                <w:rFonts w:asciiTheme="minorHAnsi" w:hAnsiTheme="minorHAnsi" w:cs="Arial"/>
                <w:b/>
                <w:bCs/>
                <w:szCs w:val="20"/>
              </w:rPr>
              <w:t>Number of Institutions</w:t>
            </w:r>
            <w:r w:rsidRPr="00A9692C">
              <w:rPr>
                <w:rStyle w:val="FootnoteReference"/>
                <w:rFonts w:asciiTheme="minorHAnsi" w:hAnsiTheme="minorHAnsi" w:cs="Arial"/>
                <w:b/>
                <w:bCs/>
                <w:szCs w:val="20"/>
              </w:rPr>
              <w:footnoteReference w:id="4"/>
            </w:r>
          </w:p>
        </w:tc>
      </w:tr>
      <w:tr w:rsidR="00A910DA" w14:paraId="4F3365A7" w14:textId="77777777" w:rsidTr="00A910DA">
        <w:trPr>
          <w:trHeight w:val="431"/>
        </w:trPr>
        <w:tc>
          <w:tcPr>
            <w:tcW w:w="2016" w:type="dxa"/>
            <w:vAlign w:val="center"/>
          </w:tcPr>
          <w:p w14:paraId="0A1FC146" w14:textId="77777777" w:rsidR="00A910DA" w:rsidRPr="00A9692C" w:rsidRDefault="00A910DA" w:rsidP="0034313C">
            <w:pPr>
              <w:autoSpaceDE w:val="0"/>
              <w:autoSpaceDN w:val="0"/>
              <w:adjustRightInd w:val="0"/>
              <w:spacing w:after="0" w:line="240" w:lineRule="auto"/>
              <w:jc w:val="center"/>
              <w:rPr>
                <w:rFonts w:asciiTheme="minorHAnsi" w:hAnsiTheme="minorHAnsi" w:cstheme="minorHAnsi"/>
                <w:bCs/>
                <w:color w:val="000000"/>
                <w:szCs w:val="20"/>
              </w:rPr>
            </w:pPr>
            <w:r w:rsidRPr="00A9692C">
              <w:rPr>
                <w:rFonts w:asciiTheme="minorHAnsi" w:hAnsiTheme="minorHAnsi" w:cstheme="minorHAnsi"/>
                <w:bCs/>
                <w:szCs w:val="20"/>
              </w:rPr>
              <w:t>Originations</w:t>
            </w:r>
          </w:p>
        </w:tc>
        <w:tc>
          <w:tcPr>
            <w:tcW w:w="2016" w:type="dxa"/>
            <w:vAlign w:val="center"/>
          </w:tcPr>
          <w:p w14:paraId="7F464450" w14:textId="77777777" w:rsidR="00A910DA" w:rsidRPr="00A9692C" w:rsidRDefault="00A910DA" w:rsidP="0034313C">
            <w:pPr>
              <w:autoSpaceDE w:val="0"/>
              <w:autoSpaceDN w:val="0"/>
              <w:adjustRightInd w:val="0"/>
              <w:spacing w:after="0" w:line="240" w:lineRule="auto"/>
              <w:jc w:val="center"/>
              <w:rPr>
                <w:rFonts w:asciiTheme="minorHAnsi" w:hAnsiTheme="minorHAnsi" w:cstheme="minorHAnsi"/>
                <w:bCs/>
                <w:szCs w:val="20"/>
              </w:rPr>
            </w:pPr>
            <w:r w:rsidRPr="00A9692C">
              <w:rPr>
                <w:rFonts w:asciiTheme="minorHAnsi" w:hAnsiTheme="minorHAnsi" w:cstheme="minorHAnsi"/>
                <w:bCs/>
                <w:szCs w:val="20"/>
              </w:rPr>
              <w:t>Risk-Based</w:t>
            </w:r>
          </w:p>
        </w:tc>
        <w:tc>
          <w:tcPr>
            <w:tcW w:w="2016" w:type="dxa"/>
            <w:vAlign w:val="center"/>
          </w:tcPr>
          <w:p w14:paraId="45B79F82" w14:textId="77777777" w:rsidR="00A910DA" w:rsidRPr="00A9692C" w:rsidRDefault="00A910DA" w:rsidP="0034313C">
            <w:pPr>
              <w:autoSpaceDE w:val="0"/>
              <w:autoSpaceDN w:val="0"/>
              <w:adjustRightInd w:val="0"/>
              <w:spacing w:after="0" w:line="240" w:lineRule="auto"/>
              <w:jc w:val="center"/>
              <w:rPr>
                <w:rFonts w:asciiTheme="minorHAnsi" w:hAnsiTheme="minorHAnsi" w:cstheme="minorHAnsi"/>
                <w:bCs/>
                <w:color w:val="000000"/>
                <w:szCs w:val="20"/>
              </w:rPr>
            </w:pPr>
            <w:r w:rsidRPr="00A9692C">
              <w:rPr>
                <w:rFonts w:asciiTheme="minorHAnsi" w:hAnsiTheme="minorHAnsi" w:cstheme="minorHAnsi"/>
                <w:bCs/>
                <w:szCs w:val="20"/>
              </w:rPr>
              <w:t>Two-Stage Ratio Estimator</w:t>
            </w:r>
          </w:p>
        </w:tc>
        <w:tc>
          <w:tcPr>
            <w:tcW w:w="2016" w:type="dxa"/>
            <w:vAlign w:val="center"/>
          </w:tcPr>
          <w:p w14:paraId="306F0E2D" w14:textId="5F083CFD" w:rsidR="00A910DA" w:rsidRPr="00A9692C" w:rsidRDefault="00A910DA" w:rsidP="0034313C">
            <w:pPr>
              <w:autoSpaceDE w:val="0"/>
              <w:autoSpaceDN w:val="0"/>
              <w:adjustRightInd w:val="0"/>
              <w:spacing w:after="0" w:line="240" w:lineRule="auto"/>
              <w:jc w:val="center"/>
              <w:rPr>
                <w:rFonts w:asciiTheme="minorHAnsi" w:hAnsiTheme="minorHAnsi" w:cstheme="minorHAnsi"/>
                <w:bCs/>
                <w:color w:val="000000"/>
                <w:szCs w:val="20"/>
              </w:rPr>
            </w:pPr>
            <w:r w:rsidRPr="00A9692C">
              <w:rPr>
                <w:rFonts w:asciiTheme="minorHAnsi" w:hAnsiTheme="minorHAnsi" w:cstheme="minorHAnsi"/>
                <w:bCs/>
                <w:color w:val="000000"/>
                <w:szCs w:val="20"/>
              </w:rPr>
              <w:t>10,</w:t>
            </w:r>
            <w:r w:rsidR="00A9692C" w:rsidRPr="00A9692C">
              <w:rPr>
                <w:rFonts w:asciiTheme="minorHAnsi" w:hAnsiTheme="minorHAnsi" w:cstheme="minorHAnsi"/>
                <w:bCs/>
                <w:color w:val="000000"/>
                <w:szCs w:val="20"/>
              </w:rPr>
              <w:t>096</w:t>
            </w:r>
            <w:r w:rsidRPr="00A9692C">
              <w:rPr>
                <w:rFonts w:asciiTheme="minorHAnsi" w:hAnsiTheme="minorHAnsi" w:cstheme="minorHAnsi"/>
                <w:bCs/>
                <w:color w:val="000000"/>
                <w:szCs w:val="20"/>
              </w:rPr>
              <w:t>,</w:t>
            </w:r>
            <w:r w:rsidR="00A9692C" w:rsidRPr="00A9692C">
              <w:rPr>
                <w:rFonts w:asciiTheme="minorHAnsi" w:hAnsiTheme="minorHAnsi" w:cstheme="minorHAnsi"/>
                <w:bCs/>
                <w:color w:val="000000"/>
                <w:szCs w:val="20"/>
              </w:rPr>
              <w:t>031</w:t>
            </w:r>
            <w:r w:rsidRPr="00A9692C">
              <w:rPr>
                <w:rStyle w:val="FootnoteReference"/>
                <w:rFonts w:asciiTheme="minorHAnsi" w:hAnsiTheme="minorHAnsi" w:cstheme="minorHAnsi"/>
                <w:bCs/>
                <w:color w:val="000000"/>
                <w:szCs w:val="20"/>
              </w:rPr>
              <w:footnoteReference w:id="5"/>
            </w:r>
          </w:p>
        </w:tc>
        <w:tc>
          <w:tcPr>
            <w:tcW w:w="2016" w:type="dxa"/>
            <w:vAlign w:val="center"/>
          </w:tcPr>
          <w:p w14:paraId="2F7FA6EC" w14:textId="5A18A2A1" w:rsidR="00A910DA" w:rsidRPr="00A9692C" w:rsidRDefault="001718C3" w:rsidP="001718C3">
            <w:pPr>
              <w:autoSpaceDE w:val="0"/>
              <w:autoSpaceDN w:val="0"/>
              <w:adjustRightInd w:val="0"/>
              <w:spacing w:after="0" w:line="240" w:lineRule="auto"/>
              <w:jc w:val="center"/>
              <w:rPr>
                <w:rFonts w:asciiTheme="minorHAnsi" w:hAnsiTheme="minorHAnsi" w:cstheme="minorHAnsi"/>
                <w:bCs/>
                <w:color w:val="000000"/>
                <w:szCs w:val="20"/>
              </w:rPr>
            </w:pPr>
            <w:r>
              <w:rPr>
                <w:rFonts w:asciiTheme="minorHAnsi" w:hAnsiTheme="minorHAnsi" w:cstheme="minorHAnsi"/>
                <w:bCs/>
                <w:color w:val="000000"/>
                <w:szCs w:val="20"/>
              </w:rPr>
              <w:t>5,876</w:t>
            </w:r>
          </w:p>
        </w:tc>
      </w:tr>
      <w:tr w:rsidR="00307595" w14:paraId="3BAABE3D" w14:textId="77777777" w:rsidTr="0034313C">
        <w:trPr>
          <w:trHeight w:val="782"/>
        </w:trPr>
        <w:tc>
          <w:tcPr>
            <w:tcW w:w="2016" w:type="dxa"/>
            <w:shd w:val="clear" w:color="auto" w:fill="F2F2F2" w:themeFill="background1" w:themeFillShade="F2"/>
            <w:vAlign w:val="center"/>
          </w:tcPr>
          <w:p w14:paraId="01CFA12C"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szCs w:val="20"/>
              </w:rPr>
            </w:pPr>
            <w:r w:rsidRPr="00A9692C">
              <w:rPr>
                <w:rFonts w:asciiTheme="minorHAnsi" w:hAnsiTheme="minorHAnsi" w:cs="Arial"/>
                <w:b/>
                <w:bCs/>
                <w:szCs w:val="20"/>
              </w:rPr>
              <w:t>Payment Type</w:t>
            </w:r>
          </w:p>
        </w:tc>
        <w:tc>
          <w:tcPr>
            <w:tcW w:w="2016" w:type="dxa"/>
            <w:shd w:val="clear" w:color="auto" w:fill="F2F2F2" w:themeFill="background1" w:themeFillShade="F2"/>
            <w:vAlign w:val="center"/>
          </w:tcPr>
          <w:p w14:paraId="1566BEDF"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szCs w:val="20"/>
              </w:rPr>
            </w:pPr>
            <w:r w:rsidRPr="00A9692C">
              <w:rPr>
                <w:rFonts w:asciiTheme="minorHAnsi" w:hAnsiTheme="minorHAnsi" w:cs="Arial"/>
                <w:b/>
                <w:bCs/>
                <w:szCs w:val="20"/>
              </w:rPr>
              <w:t>Sampling Methodology</w:t>
            </w:r>
          </w:p>
        </w:tc>
        <w:tc>
          <w:tcPr>
            <w:tcW w:w="2016" w:type="dxa"/>
            <w:shd w:val="clear" w:color="auto" w:fill="F2F2F2" w:themeFill="background1" w:themeFillShade="F2"/>
            <w:vAlign w:val="center"/>
          </w:tcPr>
          <w:p w14:paraId="21B53919"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szCs w:val="20"/>
              </w:rPr>
            </w:pPr>
            <w:r w:rsidRPr="00A9692C">
              <w:rPr>
                <w:rFonts w:asciiTheme="minorHAnsi" w:hAnsiTheme="minorHAnsi" w:cs="Arial"/>
                <w:b/>
                <w:bCs/>
                <w:szCs w:val="20"/>
              </w:rPr>
              <w:t>Extrapolation Methodology</w:t>
            </w:r>
          </w:p>
        </w:tc>
        <w:tc>
          <w:tcPr>
            <w:tcW w:w="2016" w:type="dxa"/>
            <w:shd w:val="clear" w:color="auto" w:fill="F2F2F2" w:themeFill="background1" w:themeFillShade="F2"/>
            <w:vAlign w:val="center"/>
          </w:tcPr>
          <w:p w14:paraId="405C3485" w14:textId="77777777" w:rsidR="00307595" w:rsidRPr="00A9692C" w:rsidDel="00A9692C" w:rsidRDefault="00307595" w:rsidP="0034313C">
            <w:pPr>
              <w:autoSpaceDE w:val="0"/>
              <w:autoSpaceDN w:val="0"/>
              <w:adjustRightInd w:val="0"/>
              <w:spacing w:after="0" w:line="240" w:lineRule="auto"/>
              <w:jc w:val="center"/>
              <w:rPr>
                <w:rFonts w:asciiTheme="minorHAnsi" w:hAnsiTheme="minorHAnsi" w:cstheme="minorHAnsi"/>
                <w:bCs/>
                <w:color w:val="000000"/>
                <w:szCs w:val="20"/>
              </w:rPr>
            </w:pPr>
            <w:r w:rsidRPr="00307595">
              <w:rPr>
                <w:rFonts w:asciiTheme="minorHAnsi" w:hAnsiTheme="minorHAnsi" w:cs="Arial"/>
                <w:b/>
                <w:bCs/>
                <w:szCs w:val="20"/>
              </w:rPr>
              <w:t>Estimated Number of Over/Under Payments</w:t>
            </w:r>
          </w:p>
        </w:tc>
        <w:tc>
          <w:tcPr>
            <w:tcW w:w="2016" w:type="dxa"/>
            <w:shd w:val="clear" w:color="auto" w:fill="F2F2F2" w:themeFill="background1" w:themeFillShade="F2"/>
            <w:vAlign w:val="center"/>
          </w:tcPr>
          <w:p w14:paraId="2C57B440"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color w:val="000000"/>
                <w:szCs w:val="20"/>
              </w:rPr>
            </w:pPr>
            <w:r w:rsidRPr="00A9692C">
              <w:rPr>
                <w:rFonts w:asciiTheme="minorHAnsi" w:hAnsiTheme="minorHAnsi" w:cs="Arial"/>
                <w:b/>
                <w:bCs/>
                <w:szCs w:val="20"/>
              </w:rPr>
              <w:t>Number of Institutions</w:t>
            </w:r>
          </w:p>
        </w:tc>
      </w:tr>
      <w:tr w:rsidR="00307595" w14:paraId="31DE9863" w14:textId="77777777" w:rsidTr="002B3C0C">
        <w:trPr>
          <w:trHeight w:val="256"/>
        </w:trPr>
        <w:tc>
          <w:tcPr>
            <w:tcW w:w="2016" w:type="dxa"/>
            <w:vAlign w:val="center"/>
          </w:tcPr>
          <w:p w14:paraId="2050EC79"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color w:val="000000"/>
                <w:szCs w:val="20"/>
              </w:rPr>
            </w:pPr>
            <w:r w:rsidRPr="00A9692C">
              <w:rPr>
                <w:rFonts w:asciiTheme="minorHAnsi" w:hAnsiTheme="minorHAnsi" w:cstheme="minorHAnsi"/>
                <w:bCs/>
                <w:szCs w:val="20"/>
              </w:rPr>
              <w:t>Refunds</w:t>
            </w:r>
          </w:p>
        </w:tc>
        <w:tc>
          <w:tcPr>
            <w:tcW w:w="2016" w:type="dxa"/>
            <w:vAlign w:val="center"/>
          </w:tcPr>
          <w:p w14:paraId="5B8CAE47"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szCs w:val="20"/>
              </w:rPr>
            </w:pPr>
            <w:r w:rsidRPr="00A9692C">
              <w:rPr>
                <w:rFonts w:asciiTheme="minorHAnsi" w:hAnsiTheme="minorHAnsi" w:cstheme="minorHAnsi"/>
                <w:bCs/>
                <w:szCs w:val="20"/>
              </w:rPr>
              <w:t>Random</w:t>
            </w:r>
          </w:p>
        </w:tc>
        <w:tc>
          <w:tcPr>
            <w:tcW w:w="2016" w:type="dxa"/>
            <w:vAlign w:val="center"/>
          </w:tcPr>
          <w:p w14:paraId="3F06CF35"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color w:val="000000"/>
                <w:szCs w:val="20"/>
              </w:rPr>
            </w:pPr>
            <w:r w:rsidRPr="00A9692C">
              <w:rPr>
                <w:rFonts w:asciiTheme="minorHAnsi" w:hAnsiTheme="minorHAnsi" w:cstheme="minorHAnsi"/>
                <w:bCs/>
                <w:szCs w:val="20"/>
              </w:rPr>
              <w:t>PPS Estimator</w:t>
            </w:r>
          </w:p>
        </w:tc>
        <w:tc>
          <w:tcPr>
            <w:tcW w:w="2016" w:type="dxa"/>
            <w:vAlign w:val="center"/>
          </w:tcPr>
          <w:p w14:paraId="0347EFEF" w14:textId="42CE6712" w:rsidR="00307595" w:rsidRPr="00A9692C" w:rsidRDefault="00307595" w:rsidP="0034313C">
            <w:pPr>
              <w:autoSpaceDE w:val="0"/>
              <w:autoSpaceDN w:val="0"/>
              <w:adjustRightInd w:val="0"/>
              <w:spacing w:after="0" w:line="240" w:lineRule="auto"/>
              <w:jc w:val="center"/>
              <w:rPr>
                <w:rFonts w:asciiTheme="minorHAnsi" w:hAnsiTheme="minorHAnsi" w:cstheme="minorHAnsi"/>
                <w:bCs/>
                <w:color w:val="000000"/>
                <w:szCs w:val="20"/>
              </w:rPr>
            </w:pPr>
            <w:r w:rsidRPr="00A9692C">
              <w:rPr>
                <w:rFonts w:asciiTheme="minorHAnsi" w:hAnsiTheme="minorHAnsi" w:cstheme="minorHAnsi"/>
                <w:bCs/>
                <w:color w:val="000000"/>
                <w:szCs w:val="20"/>
              </w:rPr>
              <w:t>295,554</w:t>
            </w:r>
            <w:r w:rsidRPr="00A9692C">
              <w:rPr>
                <w:rStyle w:val="FootnoteReference"/>
                <w:rFonts w:asciiTheme="minorHAnsi" w:hAnsiTheme="minorHAnsi" w:cstheme="minorHAnsi"/>
                <w:bCs/>
                <w:color w:val="000000"/>
                <w:szCs w:val="20"/>
              </w:rPr>
              <w:footnoteReference w:id="6"/>
            </w:r>
          </w:p>
        </w:tc>
        <w:tc>
          <w:tcPr>
            <w:tcW w:w="2016" w:type="dxa"/>
            <w:vAlign w:val="center"/>
          </w:tcPr>
          <w:p w14:paraId="79CC68D4"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color w:val="000000"/>
                <w:szCs w:val="20"/>
              </w:rPr>
            </w:pPr>
            <w:r w:rsidRPr="00A9692C">
              <w:rPr>
                <w:rFonts w:asciiTheme="minorHAnsi" w:hAnsiTheme="minorHAnsi" w:cstheme="minorHAnsi"/>
                <w:bCs/>
                <w:color w:val="000000"/>
                <w:szCs w:val="20"/>
              </w:rPr>
              <w:t>N/A</w:t>
            </w:r>
          </w:p>
        </w:tc>
      </w:tr>
      <w:tr w:rsidR="00307595" w14:paraId="07C712CE" w14:textId="77777777" w:rsidTr="002B3C0C">
        <w:trPr>
          <w:trHeight w:val="256"/>
        </w:trPr>
        <w:tc>
          <w:tcPr>
            <w:tcW w:w="2016" w:type="dxa"/>
            <w:vAlign w:val="center"/>
          </w:tcPr>
          <w:p w14:paraId="4388D2D3"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color w:val="000000"/>
                <w:szCs w:val="20"/>
              </w:rPr>
            </w:pPr>
            <w:r w:rsidRPr="00A9692C">
              <w:rPr>
                <w:rFonts w:asciiTheme="minorHAnsi" w:hAnsiTheme="minorHAnsi" w:cstheme="minorHAnsi"/>
                <w:bCs/>
                <w:szCs w:val="20"/>
              </w:rPr>
              <w:t>Consolidations</w:t>
            </w:r>
          </w:p>
        </w:tc>
        <w:tc>
          <w:tcPr>
            <w:tcW w:w="2016" w:type="dxa"/>
            <w:vAlign w:val="center"/>
          </w:tcPr>
          <w:p w14:paraId="730CBFB7"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szCs w:val="20"/>
              </w:rPr>
            </w:pPr>
            <w:r w:rsidRPr="00A9692C">
              <w:rPr>
                <w:rFonts w:asciiTheme="minorHAnsi" w:hAnsiTheme="minorHAnsi" w:cstheme="minorHAnsi"/>
                <w:bCs/>
                <w:szCs w:val="20"/>
              </w:rPr>
              <w:t>Random</w:t>
            </w:r>
          </w:p>
        </w:tc>
        <w:tc>
          <w:tcPr>
            <w:tcW w:w="2016" w:type="dxa"/>
            <w:vAlign w:val="center"/>
          </w:tcPr>
          <w:p w14:paraId="4B23D23B"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color w:val="000000"/>
                <w:szCs w:val="20"/>
              </w:rPr>
            </w:pPr>
            <w:r w:rsidRPr="00A9692C">
              <w:rPr>
                <w:rFonts w:asciiTheme="minorHAnsi" w:hAnsiTheme="minorHAnsi" w:cstheme="minorHAnsi"/>
                <w:bCs/>
                <w:szCs w:val="20"/>
              </w:rPr>
              <w:t>PPS Estimator</w:t>
            </w:r>
          </w:p>
        </w:tc>
        <w:tc>
          <w:tcPr>
            <w:tcW w:w="2016" w:type="dxa"/>
            <w:vAlign w:val="center"/>
          </w:tcPr>
          <w:p w14:paraId="3844F9ED" w14:textId="771A5011" w:rsidR="00307595" w:rsidRPr="00A9692C" w:rsidRDefault="00307595" w:rsidP="00FB198C">
            <w:pPr>
              <w:autoSpaceDE w:val="0"/>
              <w:autoSpaceDN w:val="0"/>
              <w:adjustRightInd w:val="0"/>
              <w:spacing w:after="0" w:line="240" w:lineRule="auto"/>
              <w:jc w:val="center"/>
              <w:rPr>
                <w:rFonts w:asciiTheme="minorHAnsi" w:hAnsiTheme="minorHAnsi" w:cstheme="minorHAnsi"/>
                <w:bCs/>
                <w:color w:val="000000"/>
                <w:szCs w:val="20"/>
              </w:rPr>
            </w:pPr>
            <w:r w:rsidRPr="00A9692C">
              <w:rPr>
                <w:rFonts w:asciiTheme="minorHAnsi" w:hAnsiTheme="minorHAnsi" w:cstheme="minorHAnsi"/>
                <w:bCs/>
                <w:color w:val="000000"/>
                <w:szCs w:val="20"/>
              </w:rPr>
              <w:t>340,120</w:t>
            </w:r>
            <w:r w:rsidR="00FB198C">
              <w:rPr>
                <w:rFonts w:asciiTheme="minorHAnsi" w:hAnsiTheme="minorHAnsi" w:cstheme="minorHAnsi"/>
                <w:bCs/>
                <w:color w:val="000000"/>
                <w:szCs w:val="20"/>
                <w:vertAlign w:val="superscript"/>
              </w:rPr>
              <w:t>7</w:t>
            </w:r>
          </w:p>
        </w:tc>
        <w:tc>
          <w:tcPr>
            <w:tcW w:w="2016" w:type="dxa"/>
            <w:vAlign w:val="center"/>
          </w:tcPr>
          <w:p w14:paraId="4934C06E" w14:textId="77777777" w:rsidR="00307595" w:rsidRPr="00A9692C" w:rsidRDefault="00307595" w:rsidP="0034313C">
            <w:pPr>
              <w:autoSpaceDE w:val="0"/>
              <w:autoSpaceDN w:val="0"/>
              <w:adjustRightInd w:val="0"/>
              <w:spacing w:after="0" w:line="240" w:lineRule="auto"/>
              <w:jc w:val="center"/>
              <w:rPr>
                <w:rFonts w:asciiTheme="minorHAnsi" w:hAnsiTheme="minorHAnsi" w:cstheme="minorHAnsi"/>
                <w:bCs/>
                <w:color w:val="000000"/>
                <w:szCs w:val="20"/>
              </w:rPr>
            </w:pPr>
            <w:r w:rsidRPr="00A9692C">
              <w:rPr>
                <w:rFonts w:asciiTheme="minorHAnsi" w:hAnsiTheme="minorHAnsi" w:cstheme="minorHAnsi"/>
                <w:bCs/>
                <w:color w:val="000000"/>
                <w:szCs w:val="20"/>
              </w:rPr>
              <w:t>N/A</w:t>
            </w:r>
          </w:p>
        </w:tc>
      </w:tr>
    </w:tbl>
    <w:p w14:paraId="7B293050" w14:textId="77777777" w:rsidR="00A910DA" w:rsidRDefault="00A910DA" w:rsidP="00A910DA">
      <w:pPr>
        <w:autoSpaceDE w:val="0"/>
        <w:autoSpaceDN w:val="0"/>
        <w:adjustRightInd w:val="0"/>
        <w:spacing w:after="0" w:line="240" w:lineRule="auto"/>
        <w:rPr>
          <w:rFonts w:ascii="Arial" w:hAnsi="Arial" w:cs="Arial"/>
          <w:color w:val="000000"/>
          <w:sz w:val="22"/>
        </w:rPr>
      </w:pPr>
    </w:p>
    <w:p w14:paraId="762F7834" w14:textId="5FD1C084" w:rsidR="00A910DA" w:rsidRPr="002B3C0C" w:rsidRDefault="00A910DA" w:rsidP="00A910DA">
      <w:pPr>
        <w:autoSpaceDE w:val="0"/>
        <w:autoSpaceDN w:val="0"/>
        <w:adjustRightInd w:val="0"/>
        <w:spacing w:after="0" w:line="240" w:lineRule="auto"/>
        <w:rPr>
          <w:rFonts w:asciiTheme="minorHAnsi" w:hAnsiTheme="minorHAnsi" w:cstheme="minorHAnsi"/>
          <w:color w:val="000000"/>
          <w:sz w:val="22"/>
        </w:rPr>
      </w:pPr>
      <w:r w:rsidRPr="002B3C0C">
        <w:rPr>
          <w:rFonts w:asciiTheme="minorHAnsi" w:hAnsiTheme="minorHAnsi" w:cstheme="minorHAnsi"/>
          <w:color w:val="000000"/>
          <w:sz w:val="22"/>
        </w:rPr>
        <w:t>The loan consolidation component of the DL improper payment estimate was computed by sampling five overpayments and five underpayments, from the universe of all underpayment and overpayment activities for each of the 12 months from July 201</w:t>
      </w:r>
      <w:r w:rsidR="00307595">
        <w:rPr>
          <w:rFonts w:asciiTheme="minorHAnsi" w:hAnsiTheme="minorHAnsi" w:cstheme="minorHAnsi"/>
          <w:color w:val="000000"/>
          <w:sz w:val="22"/>
        </w:rPr>
        <w:t>5</w:t>
      </w:r>
      <w:r w:rsidRPr="002B3C0C">
        <w:rPr>
          <w:rFonts w:asciiTheme="minorHAnsi" w:hAnsiTheme="minorHAnsi" w:cstheme="minorHAnsi"/>
          <w:color w:val="000000"/>
          <w:sz w:val="22"/>
        </w:rPr>
        <w:t xml:space="preserve"> through June 201</w:t>
      </w:r>
      <w:r w:rsidR="00307595">
        <w:rPr>
          <w:rFonts w:asciiTheme="minorHAnsi" w:hAnsiTheme="minorHAnsi" w:cstheme="minorHAnsi"/>
          <w:color w:val="000000"/>
          <w:sz w:val="22"/>
        </w:rPr>
        <w:t>6</w:t>
      </w:r>
      <w:r w:rsidRPr="002B3C0C">
        <w:rPr>
          <w:rFonts w:asciiTheme="minorHAnsi" w:hAnsiTheme="minorHAnsi" w:cstheme="minorHAnsi"/>
          <w:color w:val="000000"/>
          <w:sz w:val="22"/>
        </w:rPr>
        <w:t xml:space="preserve"> for a total sample size of 120. An </w:t>
      </w:r>
      <w:r w:rsidRPr="002B3C0C">
        <w:rPr>
          <w:rFonts w:asciiTheme="minorHAnsi" w:hAnsiTheme="minorHAnsi" w:cstheme="minorHAnsi"/>
          <w:color w:val="000000"/>
          <w:sz w:val="22"/>
        </w:rPr>
        <w:lastRenderedPageBreak/>
        <w:t>independent sample of FFEL to DL consolidation overpayment and underpayment activity was selected using a Probability Proportional to Size (PPS) technique based on dollar amount to draw the sample to reduce the probability that small DL consolidations are selected. After selecting the monthly samples, each overpayment and underpayment was tested to determine which of these transactions are considered improper payments. Any improper payments found in the sample were extrapolated to create a 90 percent statistical confidence interval range of the overall improper payment rate for loan consolidation activity. The absolute value of improper payments divided by the aggregate absolute value of the samples comprises the baseline rate for DL consolidation.</w:t>
      </w:r>
    </w:p>
    <w:p w14:paraId="16234892" w14:textId="77777777" w:rsidR="00A910DA" w:rsidRPr="002B3C0C" w:rsidRDefault="00A910DA" w:rsidP="00A910DA">
      <w:pPr>
        <w:autoSpaceDE w:val="0"/>
        <w:autoSpaceDN w:val="0"/>
        <w:adjustRightInd w:val="0"/>
        <w:spacing w:after="0" w:line="240" w:lineRule="auto"/>
        <w:rPr>
          <w:rFonts w:asciiTheme="minorHAnsi" w:hAnsiTheme="minorHAnsi" w:cstheme="minorHAnsi"/>
          <w:sz w:val="22"/>
        </w:rPr>
      </w:pPr>
    </w:p>
    <w:p w14:paraId="62A3CF3F" w14:textId="28F32586" w:rsidR="00A910DA" w:rsidRPr="002B3C0C" w:rsidRDefault="00A910DA" w:rsidP="00A910DA">
      <w:pPr>
        <w:autoSpaceDE w:val="0"/>
        <w:autoSpaceDN w:val="0"/>
        <w:adjustRightInd w:val="0"/>
        <w:spacing w:after="0" w:line="240" w:lineRule="auto"/>
        <w:rPr>
          <w:rFonts w:asciiTheme="minorHAnsi" w:hAnsiTheme="minorHAnsi" w:cstheme="minorHAnsi"/>
          <w:color w:val="000000"/>
          <w:sz w:val="22"/>
        </w:rPr>
      </w:pPr>
      <w:r w:rsidRPr="002B3C0C">
        <w:rPr>
          <w:rFonts w:asciiTheme="minorHAnsi" w:hAnsiTheme="minorHAnsi" w:cstheme="minorHAnsi"/>
          <w:color w:val="000000"/>
          <w:sz w:val="22"/>
          <w:szCs w:val="24"/>
        </w:rPr>
        <w:t xml:space="preserve">The third component was the test of loan refund activity. A refund on a borrower’s account can occur when a payment is received for more than the amount due, resulting in a credit balance. In the case that the credit balance is less than $5, the account is closed out and written up to zero, unless the borrower requests a refund. A refund can also occur when a payment resides in an unapplied state in suspense and cannot be matched to a borrower’s account. </w:t>
      </w:r>
      <w:r w:rsidRPr="002B3C0C">
        <w:rPr>
          <w:rFonts w:asciiTheme="minorHAnsi" w:hAnsiTheme="minorHAnsi" w:cstheme="minorHAnsi"/>
          <w:color w:val="000000"/>
          <w:sz w:val="22"/>
        </w:rPr>
        <w:t>An independent sample of DL refund activity was selected using a PPS technique to reduce the probability of selecting transactions that are deemed not material. The PPS sample of DL refunds was based on samples of 10 refunds for each month from July 201</w:t>
      </w:r>
      <w:r w:rsidR="00307595">
        <w:rPr>
          <w:rFonts w:asciiTheme="minorHAnsi" w:hAnsiTheme="minorHAnsi" w:cstheme="minorHAnsi"/>
          <w:color w:val="000000"/>
          <w:sz w:val="22"/>
        </w:rPr>
        <w:t>5</w:t>
      </w:r>
      <w:r w:rsidRPr="002B3C0C">
        <w:rPr>
          <w:rFonts w:asciiTheme="minorHAnsi" w:hAnsiTheme="minorHAnsi" w:cstheme="minorHAnsi"/>
          <w:color w:val="000000"/>
          <w:sz w:val="22"/>
        </w:rPr>
        <w:t xml:space="preserve"> to June 201</w:t>
      </w:r>
      <w:r w:rsidR="00307595">
        <w:rPr>
          <w:rFonts w:asciiTheme="minorHAnsi" w:hAnsiTheme="minorHAnsi" w:cstheme="minorHAnsi"/>
          <w:color w:val="000000"/>
          <w:sz w:val="22"/>
        </w:rPr>
        <w:t>6</w:t>
      </w:r>
      <w:r w:rsidRPr="002B3C0C">
        <w:rPr>
          <w:rFonts w:asciiTheme="minorHAnsi" w:hAnsiTheme="minorHAnsi" w:cstheme="minorHAnsi"/>
          <w:color w:val="000000"/>
          <w:sz w:val="22"/>
        </w:rPr>
        <w:t xml:space="preserve"> for a total of 120 sample items. FSA’s Financial Management System (FMS) was queried and 10 refunds from the refunds population were selected for each month. Once monthly samples are selected, each refund was tested to determine if the samples were considered improper payments. The value of improper payments divided by the aggregate value of the samples comprises the baseline rate for DL refunds.</w:t>
      </w:r>
    </w:p>
    <w:p w14:paraId="4152854B" w14:textId="77777777" w:rsidR="00A910DA" w:rsidRPr="002B3C0C" w:rsidRDefault="00A910DA" w:rsidP="00A910DA">
      <w:pPr>
        <w:autoSpaceDE w:val="0"/>
        <w:autoSpaceDN w:val="0"/>
        <w:adjustRightInd w:val="0"/>
        <w:spacing w:after="0" w:line="240" w:lineRule="auto"/>
        <w:rPr>
          <w:rFonts w:asciiTheme="minorHAnsi" w:hAnsiTheme="minorHAnsi" w:cstheme="minorHAnsi"/>
          <w:b/>
          <w:bCs/>
          <w:color w:val="000000"/>
          <w:sz w:val="22"/>
        </w:rPr>
      </w:pPr>
    </w:p>
    <w:p w14:paraId="15D06D2F" w14:textId="77777777" w:rsidR="00A910DA" w:rsidRPr="00A910DA" w:rsidRDefault="00A910DA" w:rsidP="00A910DA">
      <w:pPr>
        <w:autoSpaceDE w:val="0"/>
        <w:autoSpaceDN w:val="0"/>
        <w:adjustRightInd w:val="0"/>
        <w:spacing w:after="0" w:line="240" w:lineRule="auto"/>
        <w:rPr>
          <w:rFonts w:asciiTheme="minorHAnsi" w:hAnsiTheme="minorHAnsi" w:cstheme="minorHAnsi"/>
          <w:color w:val="000000"/>
          <w:sz w:val="22"/>
        </w:rPr>
      </w:pPr>
      <w:r w:rsidRPr="00A910DA">
        <w:rPr>
          <w:rFonts w:asciiTheme="minorHAnsi" w:hAnsiTheme="minorHAnsi" w:cstheme="minorHAnsi"/>
          <w:color w:val="000000"/>
          <w:sz w:val="22"/>
        </w:rPr>
        <w:t>The loan disbursement, consolidation, and refund rates were then applied to their representative</w:t>
      </w:r>
    </w:p>
    <w:p w14:paraId="77F95CDE" w14:textId="628A843E" w:rsidR="00A910DA" w:rsidRPr="00A910DA" w:rsidRDefault="00A910DA" w:rsidP="00A910DA">
      <w:pPr>
        <w:autoSpaceDE w:val="0"/>
        <w:autoSpaceDN w:val="0"/>
        <w:adjustRightInd w:val="0"/>
        <w:spacing w:after="0" w:line="240" w:lineRule="auto"/>
        <w:rPr>
          <w:rFonts w:asciiTheme="minorHAnsi" w:hAnsiTheme="minorHAnsi" w:cs="Arial"/>
          <w:color w:val="000000"/>
          <w:sz w:val="22"/>
        </w:rPr>
      </w:pPr>
      <w:r w:rsidRPr="00A910DA">
        <w:rPr>
          <w:rFonts w:asciiTheme="minorHAnsi" w:hAnsiTheme="minorHAnsi" w:cs="Arial"/>
          <w:color w:val="000000"/>
          <w:sz w:val="22"/>
        </w:rPr>
        <w:t>FY 201</w:t>
      </w:r>
      <w:r w:rsidR="008041EE">
        <w:rPr>
          <w:rFonts w:asciiTheme="minorHAnsi" w:hAnsiTheme="minorHAnsi" w:cs="Arial"/>
          <w:color w:val="000000"/>
          <w:sz w:val="22"/>
        </w:rPr>
        <w:t>6</w:t>
      </w:r>
      <w:r w:rsidRPr="00A910DA">
        <w:rPr>
          <w:rFonts w:asciiTheme="minorHAnsi" w:hAnsiTheme="minorHAnsi" w:cs="Arial"/>
          <w:color w:val="000000"/>
          <w:sz w:val="22"/>
        </w:rPr>
        <w:t xml:space="preserve"> balances. The aggregate estimated improper payment amount for all three components was then applied to the total disbursement activity for the Direct Loan program to determine the overall Direct Loan improper payment rate of </w:t>
      </w:r>
      <w:r w:rsidR="003126D1">
        <w:rPr>
          <w:rFonts w:asciiTheme="minorHAnsi" w:hAnsiTheme="minorHAnsi" w:cs="Arial"/>
          <w:color w:val="000000"/>
          <w:sz w:val="22"/>
        </w:rPr>
        <w:t>3</w:t>
      </w:r>
      <w:r w:rsidRPr="00A910DA">
        <w:rPr>
          <w:rFonts w:asciiTheme="minorHAnsi" w:hAnsiTheme="minorHAnsi" w:cs="Arial"/>
          <w:color w:val="000000"/>
          <w:sz w:val="22"/>
        </w:rPr>
        <w:t>.</w:t>
      </w:r>
      <w:r w:rsidR="003126D1">
        <w:rPr>
          <w:rFonts w:asciiTheme="minorHAnsi" w:hAnsiTheme="minorHAnsi" w:cs="Arial"/>
          <w:color w:val="000000"/>
          <w:sz w:val="22"/>
        </w:rPr>
        <w:t>98</w:t>
      </w:r>
      <w:r w:rsidRPr="00A910DA">
        <w:rPr>
          <w:rFonts w:asciiTheme="minorHAnsi" w:hAnsiTheme="minorHAnsi" w:cs="Arial"/>
          <w:color w:val="000000"/>
          <w:sz w:val="22"/>
        </w:rPr>
        <w:t xml:space="preserve"> percent, or $</w:t>
      </w:r>
      <w:r w:rsidR="003126D1">
        <w:rPr>
          <w:rFonts w:asciiTheme="minorHAnsi" w:hAnsiTheme="minorHAnsi" w:cs="Arial"/>
          <w:color w:val="000000"/>
          <w:sz w:val="22"/>
        </w:rPr>
        <w:t>3,867.87</w:t>
      </w:r>
      <w:r w:rsidRPr="00A910DA">
        <w:rPr>
          <w:rFonts w:asciiTheme="minorHAnsi" w:hAnsiTheme="minorHAnsi" w:cs="Arial"/>
          <w:color w:val="000000"/>
          <w:sz w:val="22"/>
        </w:rPr>
        <w:t xml:space="preserve"> million.</w:t>
      </w:r>
    </w:p>
    <w:p w14:paraId="346CA4B7" w14:textId="77777777" w:rsidR="00A910DA" w:rsidRDefault="00A910DA" w:rsidP="00A910DA">
      <w:pPr>
        <w:autoSpaceDE w:val="0"/>
        <w:autoSpaceDN w:val="0"/>
        <w:adjustRightInd w:val="0"/>
        <w:spacing w:after="0" w:line="240" w:lineRule="auto"/>
        <w:rPr>
          <w:rFonts w:ascii="Arial" w:hAnsi="Arial" w:cs="Arial"/>
          <w:color w:val="000000"/>
          <w:sz w:val="22"/>
        </w:rPr>
      </w:pPr>
    </w:p>
    <w:tbl>
      <w:tblPr>
        <w:tblStyle w:val="TableGrid"/>
        <w:tblW w:w="10098" w:type="dxa"/>
        <w:tblLayout w:type="fixed"/>
        <w:tblLook w:val="04A0" w:firstRow="1" w:lastRow="0" w:firstColumn="1" w:lastColumn="0" w:noHBand="0" w:noVBand="1"/>
      </w:tblPr>
      <w:tblGrid>
        <w:gridCol w:w="2524"/>
        <w:gridCol w:w="2525"/>
        <w:gridCol w:w="2524"/>
        <w:gridCol w:w="2525"/>
      </w:tblGrid>
      <w:tr w:rsidR="00A910DA" w:rsidRPr="007142C6" w14:paraId="1A20A8E7" w14:textId="77777777" w:rsidTr="002B3C0C">
        <w:trPr>
          <w:trHeight w:val="512"/>
        </w:trPr>
        <w:tc>
          <w:tcPr>
            <w:tcW w:w="10098" w:type="dxa"/>
            <w:gridSpan w:val="4"/>
            <w:shd w:val="clear" w:color="auto" w:fill="D9D9D9" w:themeFill="background1" w:themeFillShade="D9"/>
            <w:vAlign w:val="center"/>
          </w:tcPr>
          <w:p w14:paraId="46F7C1E5" w14:textId="77001D9B" w:rsidR="00A910DA" w:rsidRPr="008041EE" w:rsidRDefault="00A910DA" w:rsidP="000E7E6D">
            <w:pPr>
              <w:autoSpaceDE w:val="0"/>
              <w:autoSpaceDN w:val="0"/>
              <w:adjustRightInd w:val="0"/>
              <w:spacing w:after="0" w:line="240" w:lineRule="auto"/>
              <w:jc w:val="center"/>
              <w:rPr>
                <w:rFonts w:asciiTheme="minorHAnsi" w:hAnsiTheme="minorHAnsi"/>
                <w:b/>
                <w:sz w:val="22"/>
              </w:rPr>
            </w:pPr>
            <w:r w:rsidRPr="008041EE">
              <w:rPr>
                <w:rFonts w:asciiTheme="minorHAnsi" w:hAnsiTheme="minorHAnsi"/>
                <w:b/>
                <w:sz w:val="22"/>
              </w:rPr>
              <w:t xml:space="preserve">FY </w:t>
            </w:r>
            <w:r w:rsidRPr="008041EE">
              <w:rPr>
                <w:rFonts w:asciiTheme="minorHAnsi" w:hAnsiTheme="minorHAnsi" w:cs="Arial"/>
                <w:b/>
                <w:bCs/>
                <w:sz w:val="22"/>
              </w:rPr>
              <w:t>201</w:t>
            </w:r>
            <w:r w:rsidR="00A9692C" w:rsidRPr="008041EE">
              <w:rPr>
                <w:rFonts w:asciiTheme="minorHAnsi" w:hAnsiTheme="minorHAnsi" w:cs="Arial"/>
                <w:b/>
                <w:bCs/>
                <w:sz w:val="22"/>
              </w:rPr>
              <w:t>6</w:t>
            </w:r>
            <w:r w:rsidRPr="008041EE">
              <w:rPr>
                <w:rFonts w:asciiTheme="minorHAnsi" w:hAnsiTheme="minorHAnsi"/>
                <w:b/>
                <w:sz w:val="22"/>
              </w:rPr>
              <w:t xml:space="preserve"> </w:t>
            </w:r>
            <w:r w:rsidRPr="008041EE">
              <w:rPr>
                <w:rFonts w:asciiTheme="minorHAnsi" w:hAnsiTheme="minorHAnsi" w:cs="Arial"/>
                <w:b/>
                <w:bCs/>
                <w:sz w:val="22"/>
              </w:rPr>
              <w:t>Direct Loan Estimate</w:t>
            </w:r>
          </w:p>
          <w:p w14:paraId="29D6379F" w14:textId="77777777" w:rsidR="00A910DA" w:rsidRPr="00CD6607" w:rsidRDefault="00A910DA" w:rsidP="000E7E6D">
            <w:pPr>
              <w:autoSpaceDE w:val="0"/>
              <w:autoSpaceDN w:val="0"/>
              <w:adjustRightInd w:val="0"/>
              <w:spacing w:after="0" w:line="240" w:lineRule="auto"/>
              <w:jc w:val="center"/>
              <w:rPr>
                <w:rStyle w:val="qowt-font3-arial"/>
                <w:rFonts w:asciiTheme="minorHAnsi" w:hAnsiTheme="minorHAnsi"/>
              </w:rPr>
            </w:pPr>
            <w:r w:rsidRPr="008041EE">
              <w:rPr>
                <w:rFonts w:asciiTheme="minorHAnsi" w:hAnsiTheme="minorHAnsi"/>
                <w:b/>
                <w:sz w:val="22"/>
              </w:rPr>
              <w:t>Two-Stage Estimator</w:t>
            </w:r>
          </w:p>
        </w:tc>
      </w:tr>
      <w:tr w:rsidR="00A910DA" w14:paraId="4BF778F6" w14:textId="77777777" w:rsidTr="002B3C0C">
        <w:trPr>
          <w:trHeight w:val="512"/>
        </w:trPr>
        <w:tc>
          <w:tcPr>
            <w:tcW w:w="2524" w:type="dxa"/>
            <w:shd w:val="clear" w:color="auto" w:fill="F2F2F2" w:themeFill="background1" w:themeFillShade="F2"/>
            <w:vAlign w:val="center"/>
          </w:tcPr>
          <w:p w14:paraId="71FC6D19" w14:textId="77777777" w:rsidR="00A910DA" w:rsidRPr="00A9692C" w:rsidRDefault="00A910DA" w:rsidP="000E7E6D">
            <w:pPr>
              <w:autoSpaceDE w:val="0"/>
              <w:autoSpaceDN w:val="0"/>
              <w:adjustRightInd w:val="0"/>
              <w:spacing w:after="0" w:line="240" w:lineRule="auto"/>
              <w:jc w:val="center"/>
              <w:rPr>
                <w:rFonts w:asciiTheme="minorHAnsi" w:hAnsiTheme="minorHAnsi"/>
                <w:b/>
                <w:szCs w:val="20"/>
              </w:rPr>
            </w:pPr>
            <w:r w:rsidRPr="00A9692C">
              <w:rPr>
                <w:rStyle w:val="qowt-font3-arial"/>
                <w:rFonts w:asciiTheme="minorHAnsi" w:hAnsiTheme="minorHAnsi"/>
                <w:szCs w:val="20"/>
              </w:rPr>
              <w:t>Point Estimate of Improper Payment (in millions)</w:t>
            </w:r>
          </w:p>
        </w:tc>
        <w:tc>
          <w:tcPr>
            <w:tcW w:w="2525" w:type="dxa"/>
            <w:shd w:val="clear" w:color="auto" w:fill="F2F2F2" w:themeFill="background1" w:themeFillShade="F2"/>
            <w:vAlign w:val="center"/>
          </w:tcPr>
          <w:p w14:paraId="7BF24759" w14:textId="77777777" w:rsidR="00A910DA" w:rsidRPr="00A9692C" w:rsidRDefault="00A910DA" w:rsidP="000E7E6D">
            <w:pPr>
              <w:autoSpaceDE w:val="0"/>
              <w:autoSpaceDN w:val="0"/>
              <w:adjustRightInd w:val="0"/>
              <w:spacing w:after="0" w:line="240" w:lineRule="auto"/>
              <w:jc w:val="center"/>
              <w:rPr>
                <w:rFonts w:asciiTheme="minorHAnsi" w:hAnsiTheme="minorHAnsi"/>
                <w:b/>
                <w:szCs w:val="20"/>
              </w:rPr>
            </w:pPr>
            <w:r w:rsidRPr="00A9692C">
              <w:rPr>
                <w:rStyle w:val="qowt-font3-arial"/>
                <w:rFonts w:asciiTheme="minorHAnsi" w:hAnsiTheme="minorHAnsi"/>
                <w:szCs w:val="20"/>
              </w:rPr>
              <w:t>Over-Payment Improper Payment Estimate</w:t>
            </w:r>
          </w:p>
        </w:tc>
        <w:tc>
          <w:tcPr>
            <w:tcW w:w="2524" w:type="dxa"/>
            <w:shd w:val="clear" w:color="auto" w:fill="F2F2F2" w:themeFill="background1" w:themeFillShade="F2"/>
            <w:vAlign w:val="center"/>
          </w:tcPr>
          <w:p w14:paraId="18A8177F" w14:textId="77777777" w:rsidR="00A910DA" w:rsidRPr="00A9692C" w:rsidRDefault="00A910DA" w:rsidP="000E7E6D">
            <w:pPr>
              <w:autoSpaceDE w:val="0"/>
              <w:autoSpaceDN w:val="0"/>
              <w:adjustRightInd w:val="0"/>
              <w:spacing w:after="0" w:line="240" w:lineRule="auto"/>
              <w:jc w:val="center"/>
              <w:rPr>
                <w:rFonts w:asciiTheme="minorHAnsi" w:hAnsiTheme="minorHAnsi"/>
                <w:b/>
                <w:szCs w:val="20"/>
              </w:rPr>
            </w:pPr>
            <w:r w:rsidRPr="00A9692C">
              <w:rPr>
                <w:rStyle w:val="qowt-font3-arial"/>
                <w:rFonts w:asciiTheme="minorHAnsi" w:hAnsiTheme="minorHAnsi"/>
                <w:szCs w:val="20"/>
              </w:rPr>
              <w:t>Under-Payment Improper Payment Estimate</w:t>
            </w:r>
          </w:p>
        </w:tc>
        <w:tc>
          <w:tcPr>
            <w:tcW w:w="2525" w:type="dxa"/>
            <w:shd w:val="clear" w:color="auto" w:fill="F2F2F2" w:themeFill="background1" w:themeFillShade="F2"/>
            <w:vAlign w:val="center"/>
          </w:tcPr>
          <w:p w14:paraId="039A27DA" w14:textId="77777777" w:rsidR="00A910DA" w:rsidRPr="00A9692C" w:rsidRDefault="00A910DA" w:rsidP="000E7E6D">
            <w:pPr>
              <w:autoSpaceDE w:val="0"/>
              <w:autoSpaceDN w:val="0"/>
              <w:adjustRightInd w:val="0"/>
              <w:spacing w:after="0" w:line="240" w:lineRule="auto"/>
              <w:jc w:val="center"/>
              <w:rPr>
                <w:rFonts w:asciiTheme="minorHAnsi" w:hAnsiTheme="minorHAnsi"/>
                <w:b/>
                <w:szCs w:val="20"/>
              </w:rPr>
            </w:pPr>
            <w:r w:rsidRPr="00A9692C">
              <w:rPr>
                <w:rStyle w:val="qowt-font3-arial"/>
                <w:rFonts w:asciiTheme="minorHAnsi" w:hAnsiTheme="minorHAnsi"/>
                <w:szCs w:val="20"/>
              </w:rPr>
              <w:t>Point Estimate (as % of Population Total)</w:t>
            </w:r>
          </w:p>
        </w:tc>
      </w:tr>
      <w:tr w:rsidR="00A910DA" w:rsidRPr="008265FC" w14:paraId="050144E3" w14:textId="77777777" w:rsidTr="002B3C0C">
        <w:trPr>
          <w:trHeight w:val="242"/>
        </w:trPr>
        <w:tc>
          <w:tcPr>
            <w:tcW w:w="2524" w:type="dxa"/>
            <w:shd w:val="clear" w:color="auto" w:fill="auto"/>
            <w:vAlign w:val="center"/>
          </w:tcPr>
          <w:p w14:paraId="6FE859FE" w14:textId="5A7CB067" w:rsidR="00A910DA" w:rsidRPr="00A9692C" w:rsidRDefault="00A910DA" w:rsidP="000E7E6D">
            <w:pPr>
              <w:autoSpaceDE w:val="0"/>
              <w:autoSpaceDN w:val="0"/>
              <w:adjustRightInd w:val="0"/>
              <w:spacing w:after="0" w:line="240" w:lineRule="auto"/>
              <w:jc w:val="center"/>
              <w:rPr>
                <w:rStyle w:val="qowt-font3-arial"/>
                <w:rFonts w:asciiTheme="minorHAnsi" w:hAnsiTheme="minorHAnsi" w:cstheme="minorHAnsi"/>
                <w:szCs w:val="20"/>
              </w:rPr>
            </w:pPr>
            <w:r w:rsidRPr="00A9692C">
              <w:rPr>
                <w:rFonts w:asciiTheme="minorHAnsi" w:hAnsiTheme="minorHAnsi" w:cs="Arial"/>
                <w:bCs/>
                <w:color w:val="000000"/>
                <w:szCs w:val="20"/>
              </w:rPr>
              <w:t>$</w:t>
            </w:r>
            <w:r w:rsidR="001718C3">
              <w:rPr>
                <w:rFonts w:asciiTheme="minorHAnsi" w:hAnsiTheme="minorHAnsi" w:cs="Arial"/>
                <w:bCs/>
                <w:color w:val="000000"/>
                <w:szCs w:val="20"/>
              </w:rPr>
              <w:t>3,867.87</w:t>
            </w:r>
          </w:p>
        </w:tc>
        <w:tc>
          <w:tcPr>
            <w:tcW w:w="2525" w:type="dxa"/>
            <w:shd w:val="clear" w:color="auto" w:fill="auto"/>
            <w:vAlign w:val="center"/>
          </w:tcPr>
          <w:p w14:paraId="3FD1634E" w14:textId="7C884B3D" w:rsidR="00A910DA" w:rsidRPr="00A9692C" w:rsidRDefault="00A910DA" w:rsidP="000E7E6D">
            <w:pPr>
              <w:autoSpaceDE w:val="0"/>
              <w:autoSpaceDN w:val="0"/>
              <w:adjustRightInd w:val="0"/>
              <w:spacing w:after="0" w:line="240" w:lineRule="auto"/>
              <w:jc w:val="center"/>
              <w:rPr>
                <w:rStyle w:val="qowt-font3-arial"/>
                <w:rFonts w:asciiTheme="minorHAnsi" w:hAnsiTheme="minorHAnsi"/>
                <w:szCs w:val="20"/>
              </w:rPr>
            </w:pPr>
            <w:r w:rsidRPr="00A9692C">
              <w:rPr>
                <w:rFonts w:asciiTheme="minorHAnsi" w:eastAsia="Times New Roman" w:hAnsiTheme="minorHAnsi" w:cs="Times New Roman"/>
                <w:color w:val="000000"/>
                <w:szCs w:val="20"/>
              </w:rPr>
              <w:t>$</w:t>
            </w:r>
            <w:r w:rsidR="003126D1">
              <w:rPr>
                <w:rFonts w:asciiTheme="minorHAnsi" w:eastAsia="Times New Roman" w:hAnsiTheme="minorHAnsi" w:cs="Times New Roman"/>
                <w:color w:val="000000"/>
                <w:szCs w:val="20"/>
              </w:rPr>
              <w:t>3,771.26</w:t>
            </w:r>
          </w:p>
        </w:tc>
        <w:tc>
          <w:tcPr>
            <w:tcW w:w="2524" w:type="dxa"/>
            <w:shd w:val="clear" w:color="auto" w:fill="auto"/>
            <w:vAlign w:val="center"/>
          </w:tcPr>
          <w:p w14:paraId="5EDB6EE4" w14:textId="13508175" w:rsidR="00A910DA" w:rsidRPr="00A9692C" w:rsidRDefault="00A910DA" w:rsidP="000E7E6D">
            <w:pPr>
              <w:pStyle w:val="qowt-stl-normal"/>
              <w:spacing w:before="0" w:beforeAutospacing="0" w:after="0" w:afterAutospacing="0"/>
              <w:jc w:val="center"/>
              <w:rPr>
                <w:rStyle w:val="qowt-font3-arial"/>
                <w:rFonts w:asciiTheme="minorHAnsi" w:hAnsiTheme="minorHAnsi"/>
                <w:sz w:val="20"/>
                <w:szCs w:val="20"/>
              </w:rPr>
            </w:pPr>
            <w:r w:rsidRPr="00A9692C">
              <w:rPr>
                <w:rFonts w:asciiTheme="minorHAnsi" w:hAnsiTheme="minorHAnsi"/>
                <w:color w:val="000000"/>
                <w:sz w:val="20"/>
                <w:szCs w:val="20"/>
              </w:rPr>
              <w:t>$</w:t>
            </w:r>
            <w:r w:rsidR="003126D1">
              <w:rPr>
                <w:rFonts w:asciiTheme="minorHAnsi" w:hAnsiTheme="minorHAnsi"/>
                <w:color w:val="000000"/>
                <w:sz w:val="20"/>
                <w:szCs w:val="20"/>
              </w:rPr>
              <w:t>96.61</w:t>
            </w:r>
          </w:p>
        </w:tc>
        <w:tc>
          <w:tcPr>
            <w:tcW w:w="2525" w:type="dxa"/>
            <w:shd w:val="clear" w:color="auto" w:fill="auto"/>
            <w:vAlign w:val="center"/>
          </w:tcPr>
          <w:p w14:paraId="233A0C94" w14:textId="12831A8E" w:rsidR="00A910DA" w:rsidRPr="00A9692C" w:rsidRDefault="003126D1" w:rsidP="000E7E6D">
            <w:pPr>
              <w:autoSpaceDE w:val="0"/>
              <w:autoSpaceDN w:val="0"/>
              <w:adjustRightInd w:val="0"/>
              <w:spacing w:after="0" w:line="240" w:lineRule="auto"/>
              <w:jc w:val="center"/>
              <w:rPr>
                <w:rStyle w:val="qowt-font3-arial"/>
                <w:rFonts w:asciiTheme="minorHAnsi" w:hAnsiTheme="minorHAnsi"/>
                <w:szCs w:val="20"/>
              </w:rPr>
            </w:pPr>
            <w:r>
              <w:rPr>
                <w:rFonts w:asciiTheme="minorHAnsi" w:hAnsiTheme="minorHAnsi" w:cs="Arial"/>
                <w:bCs/>
                <w:color w:val="000000"/>
                <w:szCs w:val="20"/>
              </w:rPr>
              <w:t>3.98</w:t>
            </w:r>
            <w:r w:rsidR="00A910DA" w:rsidRPr="00A9692C">
              <w:rPr>
                <w:rFonts w:asciiTheme="minorHAnsi" w:hAnsiTheme="minorHAnsi"/>
                <w:color w:val="000000"/>
                <w:szCs w:val="20"/>
              </w:rPr>
              <w:t>%</w:t>
            </w:r>
          </w:p>
        </w:tc>
      </w:tr>
    </w:tbl>
    <w:p w14:paraId="05549968" w14:textId="77777777" w:rsidR="00A910DA" w:rsidRDefault="00A910DA" w:rsidP="00A910DA">
      <w:pPr>
        <w:autoSpaceDE w:val="0"/>
        <w:autoSpaceDN w:val="0"/>
        <w:adjustRightInd w:val="0"/>
        <w:spacing w:after="0" w:line="240" w:lineRule="auto"/>
        <w:rPr>
          <w:rFonts w:ascii="Arial" w:hAnsi="Arial" w:cs="Arial"/>
          <w:b/>
          <w:bCs/>
          <w:color w:val="365E92"/>
          <w:sz w:val="23"/>
          <w:szCs w:val="23"/>
        </w:rPr>
      </w:pPr>
    </w:p>
    <w:p w14:paraId="198DD27F" w14:textId="77777777" w:rsidR="00A910DA" w:rsidRPr="00E4691B" w:rsidRDefault="00A910DA" w:rsidP="00A910DA">
      <w:pPr>
        <w:autoSpaceDE w:val="0"/>
        <w:autoSpaceDN w:val="0"/>
        <w:adjustRightInd w:val="0"/>
        <w:spacing w:after="0" w:line="240" w:lineRule="auto"/>
        <w:rPr>
          <w:rFonts w:ascii="Arial" w:hAnsi="Arial" w:cs="Arial"/>
          <w:b/>
          <w:bCs/>
          <w:color w:val="365E92"/>
          <w:sz w:val="23"/>
          <w:szCs w:val="23"/>
        </w:rPr>
      </w:pPr>
      <w:r w:rsidRPr="00E4691B">
        <w:rPr>
          <w:rFonts w:ascii="Arial" w:hAnsi="Arial" w:cs="Arial"/>
          <w:b/>
          <w:bCs/>
          <w:color w:val="365E92"/>
          <w:sz w:val="23"/>
          <w:szCs w:val="23"/>
        </w:rPr>
        <w:t>Supplemental Non-Statistical Estimate</w:t>
      </w:r>
    </w:p>
    <w:p w14:paraId="70D10FF3" w14:textId="77777777" w:rsidR="00A910DA" w:rsidRDefault="00A910DA" w:rsidP="00A910DA">
      <w:pPr>
        <w:autoSpaceDE w:val="0"/>
        <w:autoSpaceDN w:val="0"/>
        <w:adjustRightInd w:val="0"/>
        <w:spacing w:after="0" w:line="240" w:lineRule="auto"/>
        <w:rPr>
          <w:rFonts w:ascii="Arial" w:hAnsi="Arial" w:cs="Arial"/>
          <w:color w:val="000000"/>
          <w:sz w:val="22"/>
        </w:rPr>
      </w:pPr>
    </w:p>
    <w:p w14:paraId="1F5DD7DD" w14:textId="77777777" w:rsidR="00A910DA" w:rsidRPr="00A910DA" w:rsidRDefault="00A910DA" w:rsidP="00A910DA">
      <w:pPr>
        <w:autoSpaceDE w:val="0"/>
        <w:autoSpaceDN w:val="0"/>
        <w:adjustRightInd w:val="0"/>
        <w:spacing w:after="0" w:line="240" w:lineRule="auto"/>
        <w:rPr>
          <w:rFonts w:asciiTheme="minorHAnsi" w:hAnsiTheme="minorHAnsi" w:cs="Arial"/>
          <w:iCs/>
          <w:color w:val="000000"/>
          <w:sz w:val="22"/>
        </w:rPr>
      </w:pPr>
      <w:r w:rsidRPr="00A910DA">
        <w:rPr>
          <w:rFonts w:asciiTheme="minorHAnsi" w:hAnsiTheme="minorHAnsi" w:cs="Arial"/>
          <w:iCs/>
          <w:color w:val="000000"/>
          <w:sz w:val="22"/>
        </w:rPr>
        <w:t xml:space="preserve">FSA has developed a process for evaluating the quality of the improper payment estimates using the alternative methodology described above. This process involves preparing a supplemental non-statistical estimate based on the review of compliance audit findings. Given the risk-based process governing selection of the Program Reviews, the Program Review institution selections for Pell and DL may produce a group of institutions with higher risk of compliance. To assess the reasonableness of the baseline estimate, a supplemental improper payment estimate is calculated for the Pell and DL programs by evaluating an independent, simple random sample of institutions from OMB Circular A-133 (A-133) compliance audits and </w:t>
      </w:r>
      <w:r w:rsidR="00E664D7">
        <w:rPr>
          <w:rFonts w:asciiTheme="minorHAnsi" w:hAnsiTheme="minorHAnsi" w:cs="Arial"/>
          <w:iCs/>
          <w:color w:val="000000"/>
          <w:sz w:val="22"/>
        </w:rPr>
        <w:t xml:space="preserve">all available </w:t>
      </w:r>
      <w:r w:rsidRPr="00A910DA">
        <w:rPr>
          <w:rFonts w:asciiTheme="minorHAnsi" w:hAnsiTheme="minorHAnsi" w:cs="Arial"/>
          <w:iCs/>
          <w:color w:val="000000"/>
          <w:sz w:val="22"/>
        </w:rPr>
        <w:t>OIG audit reports</w:t>
      </w:r>
      <w:r w:rsidR="00E664D7">
        <w:rPr>
          <w:rFonts w:asciiTheme="minorHAnsi" w:hAnsiTheme="minorHAnsi" w:cs="Arial"/>
          <w:iCs/>
          <w:color w:val="000000"/>
          <w:sz w:val="22"/>
        </w:rPr>
        <w:t xml:space="preserve"> </w:t>
      </w:r>
      <w:r w:rsidR="00E664D7" w:rsidRPr="00E664D7">
        <w:rPr>
          <w:rFonts w:asciiTheme="minorHAnsi" w:hAnsiTheme="minorHAnsi" w:cs="Arial"/>
          <w:iCs/>
          <w:color w:val="000000"/>
          <w:sz w:val="22"/>
        </w:rPr>
        <w:t>of institutions that administered Pell and DL in AY 2013-14, excluding those institutions tested as part of the Pell and DL Baseline Estimates</w:t>
      </w:r>
      <w:r w:rsidRPr="00A910DA">
        <w:rPr>
          <w:rFonts w:asciiTheme="minorHAnsi" w:hAnsiTheme="minorHAnsi" w:cs="Arial"/>
          <w:iCs/>
          <w:color w:val="000000"/>
          <w:sz w:val="22"/>
        </w:rPr>
        <w:t xml:space="preserve">. </w:t>
      </w:r>
    </w:p>
    <w:p w14:paraId="6E2EF30D" w14:textId="77777777" w:rsidR="00A910DA" w:rsidRPr="00A910DA" w:rsidRDefault="00A910DA" w:rsidP="00A910DA">
      <w:pPr>
        <w:autoSpaceDE w:val="0"/>
        <w:autoSpaceDN w:val="0"/>
        <w:adjustRightInd w:val="0"/>
        <w:spacing w:after="0" w:line="240" w:lineRule="auto"/>
        <w:rPr>
          <w:rFonts w:asciiTheme="minorHAnsi" w:hAnsiTheme="minorHAnsi" w:cs="Arial"/>
          <w:iCs/>
          <w:color w:val="000000"/>
          <w:sz w:val="22"/>
        </w:rPr>
      </w:pPr>
    </w:p>
    <w:p w14:paraId="1A2F3BA7" w14:textId="77777777" w:rsidR="00A910DA" w:rsidRPr="00A910DA" w:rsidRDefault="00A910DA" w:rsidP="00A910DA">
      <w:pPr>
        <w:autoSpaceDE w:val="0"/>
        <w:autoSpaceDN w:val="0"/>
        <w:adjustRightInd w:val="0"/>
        <w:spacing w:after="0" w:line="240" w:lineRule="auto"/>
        <w:rPr>
          <w:rFonts w:asciiTheme="minorHAnsi" w:hAnsiTheme="minorHAnsi" w:cs="Arial"/>
          <w:color w:val="000000"/>
          <w:sz w:val="22"/>
        </w:rPr>
      </w:pPr>
      <w:r w:rsidRPr="00A910DA">
        <w:rPr>
          <w:rFonts w:asciiTheme="minorHAnsi" w:hAnsiTheme="minorHAnsi"/>
          <w:color w:val="000000"/>
          <w:sz w:val="22"/>
        </w:rPr>
        <w:t xml:space="preserve">Public and private schools that receive more than $500,000 of Title IV funds must submit compliance audits in accordance with OMB Circular A-133, </w:t>
      </w:r>
      <w:r w:rsidRPr="00A910DA">
        <w:rPr>
          <w:rFonts w:asciiTheme="minorHAnsi" w:hAnsiTheme="minorHAnsi"/>
          <w:i/>
          <w:color w:val="000000"/>
          <w:sz w:val="22"/>
        </w:rPr>
        <w:t>Audits of States, Local Governments and Non-Profit Organizations</w:t>
      </w:r>
      <w:r w:rsidRPr="00A910DA">
        <w:rPr>
          <w:rFonts w:asciiTheme="minorHAnsi" w:hAnsiTheme="minorHAnsi"/>
          <w:color w:val="000000"/>
          <w:sz w:val="22"/>
        </w:rPr>
        <w:t xml:space="preserve">. Proprietary institutions must submit compliance audits in accordance with the </w:t>
      </w:r>
      <w:r w:rsidRPr="00A910DA">
        <w:rPr>
          <w:rFonts w:asciiTheme="minorHAnsi" w:hAnsiTheme="minorHAnsi"/>
          <w:color w:val="000000"/>
          <w:sz w:val="22"/>
        </w:rPr>
        <w:lastRenderedPageBreak/>
        <w:t xml:space="preserve">Department of Education’s Office of Inspector General Audit Guide, </w:t>
      </w:r>
      <w:r w:rsidRPr="00A910DA">
        <w:rPr>
          <w:rFonts w:asciiTheme="minorHAnsi" w:hAnsiTheme="minorHAnsi"/>
          <w:i/>
          <w:color w:val="000000"/>
          <w:sz w:val="22"/>
        </w:rPr>
        <w:t>Audits of Federal Student Financial Assistance Programs at Participating Institution Servicers (2000)</w:t>
      </w:r>
      <w:r w:rsidRPr="00A910DA">
        <w:rPr>
          <w:rFonts w:asciiTheme="minorHAnsi" w:hAnsiTheme="minorHAnsi"/>
          <w:color w:val="000000"/>
          <w:sz w:val="22"/>
        </w:rPr>
        <w:t xml:space="preserve">. Thus, both A-133 audits and annual compliance audits of proprietary schools were used as the basis for the supplemental estimates. The Department randomly sampled 60 A-133 compliance audits of the total population of schools participating in the Pell </w:t>
      </w:r>
      <w:r w:rsidRPr="00A910DA">
        <w:rPr>
          <w:rFonts w:asciiTheme="minorHAnsi" w:hAnsiTheme="minorHAnsi" w:cs="Arial"/>
          <w:color w:val="000000"/>
          <w:sz w:val="22"/>
        </w:rPr>
        <w:t>and another 60 A-133 compliance audits of the total population of schools participating in DL</w:t>
      </w:r>
      <w:r w:rsidRPr="00A910DA">
        <w:rPr>
          <w:rFonts w:asciiTheme="minorHAnsi" w:hAnsiTheme="minorHAnsi"/>
          <w:color w:val="000000"/>
          <w:sz w:val="22"/>
        </w:rPr>
        <w:t xml:space="preserve"> Program</w:t>
      </w:r>
      <w:r w:rsidRPr="00A910DA">
        <w:rPr>
          <w:rFonts w:asciiTheme="minorHAnsi" w:hAnsiTheme="minorHAnsi" w:cs="Arial"/>
          <w:color w:val="000000"/>
          <w:sz w:val="22"/>
        </w:rPr>
        <w:t>, along with all available in-scope OIG audit reports.</w:t>
      </w:r>
      <w:r w:rsidRPr="00A910DA">
        <w:rPr>
          <w:rFonts w:asciiTheme="minorHAnsi" w:hAnsiTheme="minorHAnsi"/>
          <w:color w:val="000000"/>
          <w:sz w:val="22"/>
        </w:rPr>
        <w:t xml:space="preserve"> Since the sampling methodology and size is rarely reported in A-133 compliance audits</w:t>
      </w:r>
      <w:r w:rsidRPr="00A910DA">
        <w:rPr>
          <w:rFonts w:asciiTheme="minorHAnsi" w:hAnsiTheme="minorHAnsi" w:cs="Arial"/>
          <w:color w:val="000000"/>
          <w:sz w:val="22"/>
        </w:rPr>
        <w:t xml:space="preserve"> and OIG audits</w:t>
      </w:r>
      <w:r w:rsidRPr="00A910DA">
        <w:rPr>
          <w:rFonts w:asciiTheme="minorHAnsi" w:hAnsiTheme="minorHAnsi"/>
          <w:color w:val="000000"/>
          <w:sz w:val="22"/>
        </w:rPr>
        <w:t xml:space="preserve">, it was assumed that 15 students were sampled in each </w:t>
      </w:r>
      <w:r w:rsidRPr="00A910DA">
        <w:rPr>
          <w:rFonts w:asciiTheme="minorHAnsi" w:hAnsiTheme="minorHAnsi" w:cs="Arial"/>
          <w:color w:val="000000"/>
          <w:sz w:val="22"/>
        </w:rPr>
        <w:t>audit</w:t>
      </w:r>
      <w:r w:rsidRPr="00A910DA">
        <w:rPr>
          <w:rFonts w:asciiTheme="minorHAnsi" w:hAnsiTheme="minorHAnsi"/>
          <w:color w:val="000000"/>
          <w:sz w:val="22"/>
        </w:rPr>
        <w:t xml:space="preserve">; the assumption of 15 students was made to compare to guidelines of the sample methodology used in the General Assessment Program Reviews conducted by FSA. </w:t>
      </w:r>
    </w:p>
    <w:p w14:paraId="211027F2" w14:textId="77777777" w:rsidR="00A910DA" w:rsidRPr="00A910DA" w:rsidRDefault="00A910DA" w:rsidP="00A910DA">
      <w:pPr>
        <w:autoSpaceDE w:val="0"/>
        <w:autoSpaceDN w:val="0"/>
        <w:adjustRightInd w:val="0"/>
        <w:spacing w:after="0" w:line="240" w:lineRule="auto"/>
        <w:rPr>
          <w:rFonts w:asciiTheme="minorHAnsi" w:hAnsiTheme="minorHAnsi" w:cs="Arial"/>
          <w:color w:val="000000"/>
          <w:sz w:val="22"/>
        </w:rPr>
      </w:pPr>
    </w:p>
    <w:p w14:paraId="03D94430" w14:textId="3E4028A7" w:rsidR="00A910DA" w:rsidRPr="002B3C0C" w:rsidRDefault="00A910DA" w:rsidP="00A910DA">
      <w:pPr>
        <w:autoSpaceDE w:val="0"/>
        <w:autoSpaceDN w:val="0"/>
        <w:adjustRightInd w:val="0"/>
        <w:spacing w:after="0" w:line="240" w:lineRule="auto"/>
        <w:rPr>
          <w:sz w:val="22"/>
        </w:rPr>
      </w:pPr>
      <w:r w:rsidRPr="00A910DA">
        <w:rPr>
          <w:rFonts w:asciiTheme="minorHAnsi" w:hAnsiTheme="minorHAnsi" w:cs="Arial"/>
          <w:color w:val="000000"/>
          <w:sz w:val="22"/>
        </w:rPr>
        <w:t xml:space="preserve">The substantive monetary findings were extracted from the reports for these independent samples and used to mathematically estimate the improper payment percentage rate for the Pell and DL programs. </w:t>
      </w:r>
      <w:r w:rsidRPr="00A910DA">
        <w:rPr>
          <w:rFonts w:asciiTheme="minorHAnsi" w:hAnsiTheme="minorHAnsi"/>
          <w:color w:val="000000"/>
          <w:sz w:val="22"/>
        </w:rPr>
        <w:t xml:space="preserve">Findings related to improper payments were logged and divided by an estimated sample value computed based on the assumed sample size and disbursement values. </w:t>
      </w:r>
      <w:r w:rsidRPr="00A910DA">
        <w:rPr>
          <w:rFonts w:asciiTheme="minorHAnsi" w:hAnsiTheme="minorHAnsi" w:cs="Arial"/>
          <w:color w:val="000000"/>
          <w:sz w:val="22"/>
        </w:rPr>
        <w:t xml:space="preserve">The resulting supplemental estimates were </w:t>
      </w:r>
      <w:r w:rsidR="008A6E90">
        <w:rPr>
          <w:rFonts w:asciiTheme="minorHAnsi" w:hAnsiTheme="minorHAnsi" w:cs="Arial"/>
          <w:color w:val="000000"/>
          <w:sz w:val="22"/>
        </w:rPr>
        <w:t>12.4</w:t>
      </w:r>
      <w:r w:rsidR="000E7E6D">
        <w:rPr>
          <w:rFonts w:asciiTheme="minorHAnsi" w:hAnsiTheme="minorHAnsi" w:cs="Arial"/>
          <w:color w:val="000000"/>
          <w:sz w:val="22"/>
        </w:rPr>
        <w:t>6</w:t>
      </w:r>
      <w:r w:rsidRPr="00A910DA">
        <w:rPr>
          <w:rFonts w:asciiTheme="minorHAnsi" w:hAnsiTheme="minorHAnsi" w:cs="Arial"/>
          <w:color w:val="000000"/>
          <w:sz w:val="22"/>
        </w:rPr>
        <w:t xml:space="preserve"> percent for Pell and </w:t>
      </w:r>
      <w:r w:rsidR="008A6E90">
        <w:rPr>
          <w:rFonts w:asciiTheme="minorHAnsi" w:hAnsiTheme="minorHAnsi" w:cs="Arial"/>
          <w:color w:val="000000"/>
          <w:sz w:val="22"/>
        </w:rPr>
        <w:t>5.45</w:t>
      </w:r>
      <w:r w:rsidRPr="00A910DA">
        <w:rPr>
          <w:rFonts w:asciiTheme="minorHAnsi" w:hAnsiTheme="minorHAnsi" w:cs="Arial"/>
          <w:color w:val="000000"/>
          <w:sz w:val="22"/>
        </w:rPr>
        <w:t xml:space="preserve"> percent for DL</w:t>
      </w:r>
      <w:r w:rsidR="00FB198C" w:rsidRPr="00A910DA">
        <w:rPr>
          <w:rFonts w:asciiTheme="minorHAnsi" w:hAnsiTheme="minorHAnsi" w:cs="Arial"/>
          <w:color w:val="000000"/>
          <w:sz w:val="22"/>
        </w:rPr>
        <w:t>.</w:t>
      </w:r>
      <w:r w:rsidR="00FB198C">
        <w:rPr>
          <w:rStyle w:val="FootnoteReference"/>
          <w:rFonts w:asciiTheme="minorHAnsi" w:hAnsiTheme="minorHAnsi" w:cs="Arial"/>
          <w:color w:val="000000"/>
          <w:sz w:val="22"/>
        </w:rPr>
        <w:footnoteReference w:customMarkFollows="1" w:id="7"/>
        <w:t>8</w:t>
      </w:r>
      <w:r w:rsidRPr="00A910DA">
        <w:rPr>
          <w:rFonts w:asciiTheme="minorHAnsi" w:hAnsiTheme="minorHAnsi" w:cs="Arial"/>
          <w:b/>
          <w:color w:val="000000"/>
          <w:sz w:val="22"/>
        </w:rPr>
        <w:t xml:space="preserve"> </w:t>
      </w:r>
      <w:r w:rsidRPr="00A910DA">
        <w:rPr>
          <w:rFonts w:asciiTheme="minorHAnsi" w:hAnsiTheme="minorHAnsi" w:cs="Arial"/>
          <w:color w:val="000000"/>
          <w:sz w:val="22"/>
        </w:rPr>
        <w:t>These estimates are not statistical. Further, they are not intended to replace or override the baseline estimate. A comparison was made between the baseline estimates and the supplemental non-statistical estimates. The supplemental non-statistical estimates were used as a point of comp</w:t>
      </w:r>
      <w:r w:rsidRPr="00A910DA">
        <w:rPr>
          <w:rFonts w:asciiTheme="minorHAnsi" w:hAnsiTheme="minorHAnsi" w:cstheme="minorHAnsi"/>
          <w:color w:val="000000"/>
          <w:sz w:val="22"/>
        </w:rPr>
        <w:t>arison against the baseline to determine if the baseline estimates seemed unduly high or low.</w:t>
      </w:r>
    </w:p>
    <w:sectPr w:rsidR="00A910DA" w:rsidRPr="002B3C0C" w:rsidSect="0020516D">
      <w:footerReference w:type="default" r:id="rId11"/>
      <w:footerReference w:type="first" r:id="rId12"/>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4B09C2" w15:done="0"/>
  <w15:commentEx w15:paraId="32C21A63" w15:done="0"/>
  <w15:commentEx w15:paraId="5B7B29AC" w15:done="0"/>
  <w15:commentEx w15:paraId="1EFA7FEE" w15:done="0"/>
  <w15:commentEx w15:paraId="0B0A9C24" w15:done="0"/>
  <w15:commentEx w15:paraId="3114B9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E14A9" w14:textId="77777777" w:rsidR="00025563" w:rsidRDefault="00025563" w:rsidP="00A910DA">
      <w:pPr>
        <w:spacing w:after="0" w:line="240" w:lineRule="auto"/>
      </w:pPr>
      <w:r>
        <w:separator/>
      </w:r>
    </w:p>
  </w:endnote>
  <w:endnote w:type="continuationSeparator" w:id="0">
    <w:p w14:paraId="2817AAB2" w14:textId="77777777" w:rsidR="00025563" w:rsidRDefault="00025563" w:rsidP="00A91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500858475"/>
      <w:docPartObj>
        <w:docPartGallery w:val="Page Numbers (Bottom of Page)"/>
        <w:docPartUnique/>
      </w:docPartObj>
    </w:sdtPr>
    <w:sdtEndPr>
      <w:rPr>
        <w:noProof/>
        <w:szCs w:val="20"/>
      </w:rPr>
    </w:sdtEndPr>
    <w:sdtContent>
      <w:p w14:paraId="418683C8" w14:textId="77777777" w:rsidR="00E5198D" w:rsidRPr="00FB198C" w:rsidRDefault="008162B6">
        <w:pPr>
          <w:pStyle w:val="Footer"/>
          <w:jc w:val="center"/>
          <w:rPr>
            <w:rFonts w:asciiTheme="minorHAnsi" w:hAnsiTheme="minorHAnsi"/>
            <w:szCs w:val="20"/>
          </w:rPr>
        </w:pPr>
        <w:r w:rsidRPr="00FB198C">
          <w:rPr>
            <w:rFonts w:asciiTheme="minorHAnsi" w:hAnsiTheme="minorHAnsi"/>
            <w:szCs w:val="20"/>
          </w:rPr>
          <w:fldChar w:fldCharType="begin"/>
        </w:r>
        <w:r w:rsidRPr="00FB198C">
          <w:rPr>
            <w:rFonts w:asciiTheme="minorHAnsi" w:hAnsiTheme="minorHAnsi"/>
            <w:szCs w:val="20"/>
          </w:rPr>
          <w:instrText xml:space="preserve"> PAGE   \* MERGEFORMAT </w:instrText>
        </w:r>
        <w:r w:rsidRPr="00FB198C">
          <w:rPr>
            <w:rFonts w:asciiTheme="minorHAnsi" w:hAnsiTheme="minorHAnsi"/>
            <w:szCs w:val="20"/>
          </w:rPr>
          <w:fldChar w:fldCharType="separate"/>
        </w:r>
        <w:r w:rsidR="00CB67B1">
          <w:rPr>
            <w:rFonts w:asciiTheme="minorHAnsi" w:hAnsiTheme="minorHAnsi"/>
            <w:noProof/>
            <w:szCs w:val="20"/>
          </w:rPr>
          <w:t>6</w:t>
        </w:r>
        <w:r w:rsidRPr="00FB198C">
          <w:rPr>
            <w:rFonts w:asciiTheme="minorHAnsi" w:hAnsiTheme="minorHAnsi"/>
            <w:noProof/>
            <w:szCs w:val="20"/>
          </w:rPr>
          <w:fldChar w:fldCharType="end"/>
        </w:r>
      </w:p>
    </w:sdtContent>
  </w:sdt>
  <w:p w14:paraId="607A5723" w14:textId="77777777" w:rsidR="0020516D" w:rsidRDefault="00CB67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2064243"/>
      <w:docPartObj>
        <w:docPartGallery w:val="Page Numbers (Bottom of Page)"/>
        <w:docPartUnique/>
      </w:docPartObj>
    </w:sdtPr>
    <w:sdtEndPr>
      <w:rPr>
        <w:rFonts w:asciiTheme="minorHAnsi" w:hAnsiTheme="minorHAnsi"/>
        <w:noProof/>
        <w:szCs w:val="20"/>
      </w:rPr>
    </w:sdtEndPr>
    <w:sdtContent>
      <w:p w14:paraId="049D4E33" w14:textId="6834E994" w:rsidR="00FB198C" w:rsidRPr="00FB198C" w:rsidRDefault="00FB198C">
        <w:pPr>
          <w:pStyle w:val="Footer"/>
          <w:jc w:val="center"/>
          <w:rPr>
            <w:rFonts w:asciiTheme="minorHAnsi" w:hAnsiTheme="minorHAnsi"/>
            <w:szCs w:val="20"/>
          </w:rPr>
        </w:pPr>
        <w:r w:rsidRPr="00FB198C">
          <w:rPr>
            <w:rFonts w:asciiTheme="minorHAnsi" w:hAnsiTheme="minorHAnsi"/>
            <w:szCs w:val="20"/>
          </w:rPr>
          <w:fldChar w:fldCharType="begin"/>
        </w:r>
        <w:r w:rsidRPr="00FB198C">
          <w:rPr>
            <w:rFonts w:asciiTheme="minorHAnsi" w:hAnsiTheme="minorHAnsi"/>
            <w:szCs w:val="20"/>
          </w:rPr>
          <w:instrText xml:space="preserve"> PAGE   \* MERGEFORMAT </w:instrText>
        </w:r>
        <w:r w:rsidRPr="00FB198C">
          <w:rPr>
            <w:rFonts w:asciiTheme="minorHAnsi" w:hAnsiTheme="minorHAnsi"/>
            <w:szCs w:val="20"/>
          </w:rPr>
          <w:fldChar w:fldCharType="separate"/>
        </w:r>
        <w:r w:rsidR="00CB67B1">
          <w:rPr>
            <w:rFonts w:asciiTheme="minorHAnsi" w:hAnsiTheme="minorHAnsi"/>
            <w:noProof/>
            <w:szCs w:val="20"/>
          </w:rPr>
          <w:t>1</w:t>
        </w:r>
        <w:r w:rsidRPr="00FB198C">
          <w:rPr>
            <w:rFonts w:asciiTheme="minorHAnsi" w:hAnsiTheme="minorHAnsi"/>
            <w:noProof/>
            <w:szCs w:val="20"/>
          </w:rPr>
          <w:fldChar w:fldCharType="end"/>
        </w:r>
      </w:p>
    </w:sdtContent>
  </w:sdt>
  <w:p w14:paraId="37A30901" w14:textId="77777777" w:rsidR="00FB198C" w:rsidRDefault="00FB19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9B67B" w14:textId="77777777" w:rsidR="00025563" w:rsidRDefault="00025563" w:rsidP="00A910DA">
      <w:pPr>
        <w:spacing w:after="0" w:line="240" w:lineRule="auto"/>
      </w:pPr>
      <w:r>
        <w:separator/>
      </w:r>
    </w:p>
  </w:footnote>
  <w:footnote w:type="continuationSeparator" w:id="0">
    <w:p w14:paraId="662857C9" w14:textId="77777777" w:rsidR="00025563" w:rsidRDefault="00025563" w:rsidP="00A910DA">
      <w:pPr>
        <w:spacing w:after="0" w:line="240" w:lineRule="auto"/>
      </w:pPr>
      <w:r>
        <w:continuationSeparator/>
      </w:r>
    </w:p>
  </w:footnote>
  <w:footnote w:id="1">
    <w:p w14:paraId="24286AFB" w14:textId="2C7A5B5E" w:rsidR="00A910DA" w:rsidRPr="00E664D7" w:rsidRDefault="00A910DA" w:rsidP="00A910DA">
      <w:pPr>
        <w:pStyle w:val="FootnoteText"/>
        <w:rPr>
          <w:rFonts w:asciiTheme="minorHAnsi" w:hAnsiTheme="minorHAnsi"/>
          <w:sz w:val="16"/>
          <w:szCs w:val="16"/>
        </w:rPr>
      </w:pPr>
      <w:r w:rsidRPr="00E664D7">
        <w:rPr>
          <w:rStyle w:val="FootnoteReference"/>
          <w:rFonts w:asciiTheme="minorHAnsi" w:hAnsiTheme="minorHAnsi"/>
          <w:sz w:val="16"/>
          <w:szCs w:val="16"/>
        </w:rPr>
        <w:footnoteRef/>
      </w:r>
      <w:r w:rsidRPr="00E664D7">
        <w:rPr>
          <w:rFonts w:asciiTheme="minorHAnsi" w:hAnsiTheme="minorHAnsi"/>
          <w:sz w:val="16"/>
          <w:szCs w:val="16"/>
        </w:rPr>
        <w:t xml:space="preserve"> </w:t>
      </w:r>
      <w:r w:rsidR="009A4CC4" w:rsidRPr="00E664D7">
        <w:rPr>
          <w:rFonts w:asciiTheme="minorHAnsi" w:hAnsiTheme="minorHAnsi"/>
          <w:sz w:val="16"/>
          <w:szCs w:val="16"/>
        </w:rPr>
        <w:t>The source of this estimated population data is the Title IV Program Volume Report entitled “Award Year 2013-14 Recipient Summary” whose source is the Common Origination &amp; Disbursement (COD) System. The data is as of January 2016.</w:t>
      </w:r>
    </w:p>
  </w:footnote>
  <w:footnote w:id="2">
    <w:p w14:paraId="3D9CDB80" w14:textId="32075538" w:rsidR="00A910DA" w:rsidRPr="002B3C0C" w:rsidRDefault="00A910DA" w:rsidP="00A910DA">
      <w:pPr>
        <w:pStyle w:val="FootnoteText"/>
      </w:pPr>
      <w:r w:rsidRPr="00E664D7">
        <w:rPr>
          <w:rStyle w:val="FootnoteReference"/>
          <w:rFonts w:asciiTheme="minorHAnsi" w:hAnsiTheme="minorHAnsi"/>
          <w:sz w:val="16"/>
          <w:szCs w:val="16"/>
        </w:rPr>
        <w:footnoteRef/>
      </w:r>
      <w:r w:rsidRPr="00E664D7">
        <w:rPr>
          <w:rFonts w:asciiTheme="minorHAnsi" w:hAnsiTheme="minorHAnsi"/>
          <w:sz w:val="16"/>
          <w:szCs w:val="16"/>
        </w:rPr>
        <w:t xml:space="preserve"> The source of this estimated population data is the Pell-DL Funding Report for </w:t>
      </w:r>
      <w:r w:rsidR="000E7E6D" w:rsidRPr="00E664D7">
        <w:rPr>
          <w:rFonts w:asciiTheme="minorHAnsi" w:hAnsiTheme="minorHAnsi"/>
          <w:sz w:val="16"/>
          <w:szCs w:val="16"/>
        </w:rPr>
        <w:t>AY</w:t>
      </w:r>
      <w:r w:rsidRPr="00E664D7">
        <w:rPr>
          <w:rFonts w:asciiTheme="minorHAnsi" w:hAnsiTheme="minorHAnsi"/>
          <w:sz w:val="16"/>
          <w:szCs w:val="16"/>
        </w:rPr>
        <w:t xml:space="preserve"> 201</w:t>
      </w:r>
      <w:r w:rsidR="009A4CC4" w:rsidRPr="00E664D7">
        <w:rPr>
          <w:rFonts w:asciiTheme="minorHAnsi" w:hAnsiTheme="minorHAnsi"/>
          <w:sz w:val="16"/>
          <w:szCs w:val="16"/>
        </w:rPr>
        <w:t>3</w:t>
      </w:r>
      <w:r w:rsidRPr="00E664D7">
        <w:rPr>
          <w:rFonts w:asciiTheme="minorHAnsi" w:hAnsiTheme="minorHAnsi"/>
          <w:sz w:val="16"/>
          <w:szCs w:val="16"/>
        </w:rPr>
        <w:t>-201</w:t>
      </w:r>
      <w:r w:rsidR="009A4CC4" w:rsidRPr="00E664D7">
        <w:rPr>
          <w:rFonts w:asciiTheme="minorHAnsi" w:hAnsiTheme="minorHAnsi"/>
          <w:sz w:val="16"/>
          <w:szCs w:val="16"/>
        </w:rPr>
        <w:t>4</w:t>
      </w:r>
      <w:r w:rsidRPr="00E664D7">
        <w:rPr>
          <w:rFonts w:asciiTheme="minorHAnsi" w:hAnsiTheme="minorHAnsi"/>
          <w:sz w:val="16"/>
          <w:szCs w:val="16"/>
        </w:rPr>
        <w:t xml:space="preserve"> dated May </w:t>
      </w:r>
      <w:r w:rsidR="009A4CC4" w:rsidRPr="00E664D7">
        <w:rPr>
          <w:rFonts w:asciiTheme="minorHAnsi" w:hAnsiTheme="minorHAnsi"/>
          <w:sz w:val="16"/>
          <w:szCs w:val="16"/>
        </w:rPr>
        <w:t>4</w:t>
      </w:r>
      <w:r w:rsidRPr="00E664D7">
        <w:rPr>
          <w:rFonts w:asciiTheme="minorHAnsi" w:hAnsiTheme="minorHAnsi"/>
          <w:sz w:val="16"/>
          <w:szCs w:val="16"/>
        </w:rPr>
        <w:t>, 201</w:t>
      </w:r>
      <w:r w:rsidR="009A4CC4" w:rsidRPr="00E664D7">
        <w:rPr>
          <w:rFonts w:asciiTheme="minorHAnsi" w:hAnsiTheme="minorHAnsi"/>
          <w:sz w:val="16"/>
          <w:szCs w:val="16"/>
        </w:rPr>
        <w:t>6</w:t>
      </w:r>
      <w:r w:rsidRPr="00E664D7">
        <w:rPr>
          <w:rFonts w:asciiTheme="minorHAnsi" w:hAnsiTheme="minorHAnsi"/>
          <w:sz w:val="16"/>
          <w:szCs w:val="16"/>
        </w:rPr>
        <w:t>.</w:t>
      </w:r>
      <w:r w:rsidR="009A4CC4">
        <w:rPr>
          <w:sz w:val="16"/>
          <w:szCs w:val="16"/>
        </w:rPr>
        <w:t xml:space="preserve"> </w:t>
      </w:r>
    </w:p>
  </w:footnote>
  <w:footnote w:id="3">
    <w:p w14:paraId="459D9FCE" w14:textId="7E447141" w:rsidR="00A910DA" w:rsidRPr="00E664D7" w:rsidRDefault="00A910DA" w:rsidP="00A910DA">
      <w:pPr>
        <w:pStyle w:val="FootnoteText"/>
        <w:rPr>
          <w:rFonts w:asciiTheme="minorHAnsi" w:hAnsiTheme="minorHAnsi"/>
          <w:sz w:val="16"/>
          <w:szCs w:val="16"/>
        </w:rPr>
      </w:pPr>
      <w:r w:rsidRPr="00E664D7">
        <w:rPr>
          <w:rStyle w:val="FootnoteReference"/>
          <w:rFonts w:asciiTheme="minorHAnsi" w:hAnsiTheme="minorHAnsi"/>
          <w:sz w:val="16"/>
          <w:szCs w:val="16"/>
        </w:rPr>
        <w:footnoteRef/>
      </w:r>
      <w:r w:rsidRPr="00E664D7">
        <w:rPr>
          <w:rFonts w:asciiTheme="minorHAnsi" w:hAnsiTheme="minorHAnsi"/>
          <w:sz w:val="16"/>
          <w:szCs w:val="16"/>
        </w:rPr>
        <w:t xml:space="preserve"> The scores are provided via the </w:t>
      </w:r>
      <w:r w:rsidR="009A4CC4" w:rsidRPr="00E664D7">
        <w:rPr>
          <w:rFonts w:asciiTheme="minorHAnsi" w:hAnsiTheme="minorHAnsi"/>
          <w:sz w:val="16"/>
          <w:szCs w:val="16"/>
        </w:rPr>
        <w:t>FY</w:t>
      </w:r>
      <w:r w:rsidR="008A6E90">
        <w:rPr>
          <w:rFonts w:asciiTheme="minorHAnsi" w:hAnsiTheme="minorHAnsi"/>
          <w:sz w:val="16"/>
          <w:szCs w:val="16"/>
        </w:rPr>
        <w:t xml:space="preserve"> 20</w:t>
      </w:r>
      <w:r w:rsidR="009A4CC4" w:rsidRPr="00E664D7">
        <w:rPr>
          <w:rFonts w:asciiTheme="minorHAnsi" w:hAnsiTheme="minorHAnsi"/>
          <w:sz w:val="16"/>
          <w:szCs w:val="16"/>
        </w:rPr>
        <w:t xml:space="preserve">16 </w:t>
      </w:r>
      <w:r w:rsidRPr="00E664D7">
        <w:rPr>
          <w:rFonts w:asciiTheme="minorHAnsi" w:hAnsiTheme="minorHAnsi"/>
          <w:sz w:val="16"/>
          <w:szCs w:val="16"/>
        </w:rPr>
        <w:t>Compliance Initiatives Report prepared by Program Compliance – SESG.</w:t>
      </w:r>
    </w:p>
  </w:footnote>
  <w:footnote w:id="4">
    <w:p w14:paraId="4B0887AA" w14:textId="04551248" w:rsidR="00A910DA" w:rsidRPr="00307595" w:rsidRDefault="00A910DA" w:rsidP="00A910DA">
      <w:pPr>
        <w:autoSpaceDE w:val="0"/>
        <w:autoSpaceDN w:val="0"/>
        <w:adjustRightInd w:val="0"/>
        <w:spacing w:after="0" w:line="240" w:lineRule="auto"/>
        <w:rPr>
          <w:rFonts w:asciiTheme="minorHAnsi" w:hAnsiTheme="minorHAnsi" w:cs="Times New Roman"/>
          <w:sz w:val="16"/>
          <w:szCs w:val="16"/>
        </w:rPr>
      </w:pPr>
      <w:r w:rsidRPr="00307595">
        <w:rPr>
          <w:rStyle w:val="FootnoteReference"/>
          <w:rFonts w:asciiTheme="minorHAnsi" w:hAnsiTheme="minorHAnsi" w:cs="Times New Roman"/>
          <w:sz w:val="16"/>
          <w:szCs w:val="16"/>
        </w:rPr>
        <w:footnoteRef/>
      </w:r>
      <w:r w:rsidRPr="00307595">
        <w:rPr>
          <w:rFonts w:asciiTheme="minorHAnsi" w:hAnsiTheme="minorHAnsi" w:cs="Times New Roman"/>
          <w:sz w:val="16"/>
          <w:szCs w:val="16"/>
        </w:rPr>
        <w:t xml:space="preserve"> The source of this estimated population data is the Pell-DL Funding Report for </w:t>
      </w:r>
      <w:r w:rsidR="000E7E6D">
        <w:rPr>
          <w:rFonts w:asciiTheme="minorHAnsi" w:hAnsiTheme="minorHAnsi" w:cs="Times New Roman"/>
          <w:sz w:val="16"/>
          <w:szCs w:val="16"/>
        </w:rPr>
        <w:t xml:space="preserve">AY </w:t>
      </w:r>
      <w:r w:rsidRPr="00307595">
        <w:rPr>
          <w:rFonts w:asciiTheme="minorHAnsi" w:hAnsiTheme="minorHAnsi" w:cs="Times New Roman"/>
          <w:sz w:val="16"/>
          <w:szCs w:val="16"/>
        </w:rPr>
        <w:t>201</w:t>
      </w:r>
      <w:r w:rsidR="000E7E6D">
        <w:rPr>
          <w:rFonts w:asciiTheme="minorHAnsi" w:hAnsiTheme="minorHAnsi" w:cs="Times New Roman"/>
          <w:sz w:val="16"/>
          <w:szCs w:val="16"/>
        </w:rPr>
        <w:t>3</w:t>
      </w:r>
      <w:r w:rsidRPr="00307595">
        <w:rPr>
          <w:rFonts w:asciiTheme="minorHAnsi" w:hAnsiTheme="minorHAnsi" w:cs="Times New Roman"/>
          <w:sz w:val="16"/>
          <w:szCs w:val="16"/>
        </w:rPr>
        <w:t>-201</w:t>
      </w:r>
      <w:r w:rsidR="000E7E6D">
        <w:rPr>
          <w:rFonts w:asciiTheme="minorHAnsi" w:hAnsiTheme="minorHAnsi" w:cs="Times New Roman"/>
          <w:sz w:val="16"/>
          <w:szCs w:val="16"/>
        </w:rPr>
        <w:t>4</w:t>
      </w:r>
      <w:r w:rsidRPr="00307595">
        <w:rPr>
          <w:rFonts w:asciiTheme="minorHAnsi" w:hAnsiTheme="minorHAnsi" w:cs="Times New Roman"/>
          <w:sz w:val="16"/>
          <w:szCs w:val="16"/>
        </w:rPr>
        <w:t xml:space="preserve"> dated May </w:t>
      </w:r>
      <w:r w:rsidR="000E7E6D">
        <w:rPr>
          <w:rFonts w:asciiTheme="minorHAnsi" w:hAnsiTheme="minorHAnsi" w:cs="Times New Roman"/>
          <w:sz w:val="16"/>
          <w:szCs w:val="16"/>
        </w:rPr>
        <w:t>4</w:t>
      </w:r>
      <w:r w:rsidRPr="00307595">
        <w:rPr>
          <w:rFonts w:asciiTheme="minorHAnsi" w:hAnsiTheme="minorHAnsi" w:cs="Times New Roman"/>
          <w:sz w:val="16"/>
          <w:szCs w:val="16"/>
        </w:rPr>
        <w:t>, 201</w:t>
      </w:r>
      <w:r w:rsidR="000E7E6D">
        <w:rPr>
          <w:rFonts w:asciiTheme="minorHAnsi" w:hAnsiTheme="minorHAnsi" w:cs="Times New Roman"/>
          <w:sz w:val="16"/>
          <w:szCs w:val="16"/>
        </w:rPr>
        <w:t>6</w:t>
      </w:r>
      <w:r w:rsidRPr="00307595">
        <w:rPr>
          <w:rFonts w:asciiTheme="minorHAnsi" w:hAnsiTheme="minorHAnsi" w:cs="Times New Roman"/>
          <w:sz w:val="16"/>
          <w:szCs w:val="16"/>
        </w:rPr>
        <w:t>.</w:t>
      </w:r>
    </w:p>
  </w:footnote>
  <w:footnote w:id="5">
    <w:p w14:paraId="214958D4" w14:textId="10CF74DB" w:rsidR="00A910DA" w:rsidRPr="0093662C" w:rsidRDefault="00A910DA" w:rsidP="00A910DA">
      <w:pPr>
        <w:pStyle w:val="FootnoteText"/>
        <w:rPr>
          <w:rFonts w:asciiTheme="minorHAnsi" w:hAnsiTheme="minorHAnsi"/>
          <w:sz w:val="16"/>
          <w:szCs w:val="16"/>
        </w:rPr>
      </w:pPr>
      <w:r w:rsidRPr="00307595">
        <w:rPr>
          <w:rStyle w:val="FootnoteReference"/>
          <w:rFonts w:asciiTheme="minorHAnsi" w:hAnsiTheme="minorHAnsi"/>
          <w:sz w:val="16"/>
          <w:szCs w:val="16"/>
        </w:rPr>
        <w:footnoteRef/>
      </w:r>
      <w:r w:rsidRPr="00307595">
        <w:rPr>
          <w:rFonts w:asciiTheme="minorHAnsi" w:hAnsiTheme="minorHAnsi"/>
          <w:sz w:val="16"/>
          <w:szCs w:val="16"/>
        </w:rPr>
        <w:t xml:space="preserve"> The source of this estimated population data is the </w:t>
      </w:r>
      <w:r w:rsidR="000E7E6D" w:rsidRPr="00DA626A">
        <w:rPr>
          <w:rFonts w:asciiTheme="minorHAnsi" w:hAnsiTheme="minorHAnsi"/>
          <w:sz w:val="16"/>
          <w:szCs w:val="16"/>
        </w:rPr>
        <w:t>Title IV Program Volume Report entitled “Award Year 2013-14 Recipient Summary” whose source is the Common Origination &amp; Disbursement (COD) System. The data is as of January 2016.</w:t>
      </w:r>
    </w:p>
  </w:footnote>
  <w:footnote w:id="6">
    <w:p w14:paraId="15E18F37" w14:textId="767A4AAA" w:rsidR="00307595" w:rsidRPr="000E7E6D" w:rsidRDefault="00307595" w:rsidP="00A910DA">
      <w:pPr>
        <w:autoSpaceDE w:val="0"/>
        <w:autoSpaceDN w:val="0"/>
        <w:adjustRightInd w:val="0"/>
        <w:spacing w:after="0" w:line="240" w:lineRule="auto"/>
        <w:rPr>
          <w:rFonts w:asciiTheme="minorHAnsi" w:hAnsiTheme="minorHAnsi" w:cs="Times New Roman"/>
          <w:sz w:val="16"/>
          <w:szCs w:val="16"/>
        </w:rPr>
      </w:pPr>
      <w:r w:rsidRPr="00307595">
        <w:rPr>
          <w:rStyle w:val="FootnoteReference"/>
          <w:rFonts w:asciiTheme="minorHAnsi" w:hAnsiTheme="minorHAnsi" w:cs="Times New Roman"/>
          <w:sz w:val="16"/>
          <w:szCs w:val="16"/>
        </w:rPr>
        <w:footnoteRef/>
      </w:r>
      <w:r w:rsidRPr="00307595">
        <w:rPr>
          <w:rFonts w:asciiTheme="minorHAnsi" w:hAnsiTheme="minorHAnsi" w:cs="Times New Roman"/>
          <w:sz w:val="16"/>
          <w:szCs w:val="16"/>
        </w:rPr>
        <w:t xml:space="preserve"> The source of this estimated population data is the July – December 2015 total DL Refunds over and underpayments as reported by Business Operations – Internal Controls Division (i.e., </w:t>
      </w:r>
      <w:r w:rsidRPr="00307595">
        <w:rPr>
          <w:rFonts w:asciiTheme="minorHAnsi" w:hAnsiTheme="minorHAnsi"/>
          <w:sz w:val="16"/>
          <w:szCs w:val="16"/>
        </w:rPr>
        <w:t>147,777</w:t>
      </w:r>
      <w:r w:rsidRPr="00307595">
        <w:rPr>
          <w:rFonts w:asciiTheme="minorHAnsi" w:hAnsiTheme="minorHAnsi" w:cs="Times New Roman"/>
          <w:sz w:val="16"/>
          <w:szCs w:val="16"/>
        </w:rPr>
        <w:t xml:space="preserve">). The population data for the last available six month period has been used to estimate the total number of DL Refunds over and underpayments for </w:t>
      </w:r>
      <w:r w:rsidR="000E7E6D">
        <w:rPr>
          <w:rFonts w:asciiTheme="minorHAnsi" w:hAnsiTheme="minorHAnsi" w:cs="Times New Roman"/>
          <w:sz w:val="16"/>
          <w:szCs w:val="16"/>
        </w:rPr>
        <w:t>AY</w:t>
      </w:r>
      <w:r w:rsidRPr="00307595">
        <w:rPr>
          <w:rFonts w:asciiTheme="minorHAnsi" w:hAnsiTheme="minorHAnsi" w:cs="Times New Roman"/>
          <w:sz w:val="16"/>
          <w:szCs w:val="16"/>
        </w:rPr>
        <w:t xml:space="preserve"> 2015-2016. </w:t>
      </w:r>
      <w:r w:rsidRPr="008041EE">
        <w:rPr>
          <w:rFonts w:asciiTheme="minorHAnsi" w:hAnsiTheme="minorHAnsi"/>
          <w:sz w:val="16"/>
          <w:szCs w:val="16"/>
        </w:rPr>
        <w:t>Intra-governmental transactions are excluded from these totals.</w:t>
      </w:r>
    </w:p>
    <w:p w14:paraId="093FEE6D" w14:textId="2E91DF91" w:rsidR="00307595" w:rsidRDefault="00FB198C" w:rsidP="00A910DA">
      <w:pPr>
        <w:autoSpaceDE w:val="0"/>
        <w:autoSpaceDN w:val="0"/>
        <w:adjustRightInd w:val="0"/>
        <w:spacing w:after="0" w:line="240" w:lineRule="auto"/>
      </w:pPr>
      <w:r>
        <w:rPr>
          <w:rFonts w:asciiTheme="minorHAnsi" w:hAnsiTheme="minorHAnsi" w:cs="Times New Roman"/>
          <w:sz w:val="16"/>
          <w:szCs w:val="16"/>
          <w:vertAlign w:val="superscript"/>
        </w:rPr>
        <w:t xml:space="preserve">7 </w:t>
      </w:r>
      <w:r w:rsidR="00307595" w:rsidRPr="002B43AC">
        <w:rPr>
          <w:rFonts w:asciiTheme="minorHAnsi" w:hAnsiTheme="minorHAnsi" w:cs="Times New Roman"/>
          <w:sz w:val="16"/>
          <w:szCs w:val="16"/>
        </w:rPr>
        <w:t xml:space="preserve">The source of this estimated population data is the July – December 2015 total FFEL to DL Consolidations over and underpayments as reported by Business Operations – Internal </w:t>
      </w:r>
      <w:r w:rsidR="00307595" w:rsidRPr="00BB22FD">
        <w:rPr>
          <w:rFonts w:asciiTheme="minorHAnsi" w:hAnsiTheme="minorHAnsi" w:cs="Times New Roman"/>
          <w:sz w:val="16"/>
          <w:szCs w:val="16"/>
        </w:rPr>
        <w:t xml:space="preserve">Controls Division (i.e., </w:t>
      </w:r>
      <w:r w:rsidR="00307595" w:rsidRPr="00BB22FD">
        <w:rPr>
          <w:rFonts w:asciiTheme="minorHAnsi" w:hAnsiTheme="minorHAnsi"/>
          <w:sz w:val="16"/>
          <w:szCs w:val="16"/>
        </w:rPr>
        <w:t>110,491</w:t>
      </w:r>
      <w:r w:rsidR="00307595" w:rsidRPr="00BB22FD">
        <w:rPr>
          <w:rFonts w:asciiTheme="minorHAnsi" w:hAnsiTheme="minorHAnsi" w:cs="Times New Roman"/>
          <w:sz w:val="16"/>
          <w:szCs w:val="16"/>
        </w:rPr>
        <w:t xml:space="preserve"> and </w:t>
      </w:r>
      <w:r w:rsidR="00307595" w:rsidRPr="00BB22FD">
        <w:rPr>
          <w:rFonts w:asciiTheme="minorHAnsi" w:hAnsiTheme="minorHAnsi"/>
          <w:sz w:val="16"/>
          <w:szCs w:val="16"/>
        </w:rPr>
        <w:t>59,569</w:t>
      </w:r>
      <w:r w:rsidR="00307595" w:rsidRPr="00C15F68">
        <w:rPr>
          <w:rFonts w:asciiTheme="minorHAnsi" w:hAnsiTheme="minorHAnsi" w:cs="Times New Roman"/>
          <w:sz w:val="16"/>
          <w:szCs w:val="16"/>
        </w:rPr>
        <w:t>, respectively). The population data for the last available six month period has been used to estimate the total number of DL Refunds over and underpayments for award year 201</w:t>
      </w:r>
      <w:r w:rsidR="00307595" w:rsidRPr="00307595">
        <w:rPr>
          <w:rFonts w:asciiTheme="minorHAnsi" w:hAnsiTheme="minorHAnsi" w:cs="Times New Roman"/>
          <w:sz w:val="16"/>
          <w:szCs w:val="16"/>
        </w:rPr>
        <w:t xml:space="preserve">5-2016. </w:t>
      </w:r>
      <w:r w:rsidR="00307595" w:rsidRPr="00307595">
        <w:rPr>
          <w:rFonts w:asciiTheme="minorHAnsi" w:hAnsiTheme="minorHAnsi"/>
          <w:sz w:val="16"/>
          <w:szCs w:val="16"/>
        </w:rPr>
        <w:t>Intra-governmental transactions are excluded from these totals.</w:t>
      </w:r>
    </w:p>
  </w:footnote>
  <w:footnote w:id="7">
    <w:p w14:paraId="3D0B83A4" w14:textId="3DD1C836" w:rsidR="00FB198C" w:rsidRPr="00E664D7" w:rsidRDefault="00FB198C" w:rsidP="00A910DA">
      <w:pPr>
        <w:pStyle w:val="FootnoteText"/>
        <w:rPr>
          <w:rFonts w:asciiTheme="minorHAnsi" w:hAnsiTheme="minorHAnsi"/>
          <w:sz w:val="16"/>
          <w:szCs w:val="16"/>
        </w:rPr>
      </w:pPr>
      <w:r w:rsidRPr="00FB198C">
        <w:rPr>
          <w:rStyle w:val="FootnoteReference"/>
          <w:rFonts w:asciiTheme="minorHAnsi" w:hAnsiTheme="minorHAnsi"/>
          <w:sz w:val="16"/>
          <w:szCs w:val="16"/>
        </w:rPr>
        <w:t>8</w:t>
      </w:r>
      <w:r w:rsidRPr="00E664D7">
        <w:rPr>
          <w:rFonts w:asciiTheme="minorHAnsi" w:hAnsiTheme="minorHAnsi"/>
          <w:sz w:val="16"/>
          <w:szCs w:val="16"/>
        </w:rPr>
        <w:t xml:space="preserve"> In FY</w:t>
      </w:r>
      <w:r w:rsidR="00435C5F">
        <w:rPr>
          <w:rFonts w:asciiTheme="minorHAnsi" w:hAnsiTheme="minorHAnsi"/>
          <w:sz w:val="16"/>
          <w:szCs w:val="16"/>
        </w:rPr>
        <w:t xml:space="preserve"> </w:t>
      </w:r>
      <w:r w:rsidRPr="00E664D7">
        <w:rPr>
          <w:rFonts w:asciiTheme="minorHAnsi" w:hAnsiTheme="minorHAnsi"/>
          <w:sz w:val="16"/>
          <w:szCs w:val="16"/>
        </w:rPr>
        <w:t>2016, the Supplemental Estimate was calculated using a weighted projection of the sample results to account for the difference in the number of students at each school (and thereby the weight of each improper payment should be given).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86B75"/>
    <w:multiLevelType w:val="hybridMultilevel"/>
    <w:tmpl w:val="C41031B8"/>
    <w:lvl w:ilvl="0" w:tplc="17C06A4A">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BE095A"/>
    <w:multiLevelType w:val="hybridMultilevel"/>
    <w:tmpl w:val="8CE236E6"/>
    <w:lvl w:ilvl="0" w:tplc="056AF9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rystal L Wolf">
    <w15:presenceInfo w15:providerId="AD" w15:userId="S-1-5-21-372416507-3140574786-2943197521-186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DA"/>
    <w:rsid w:val="00010BF5"/>
    <w:rsid w:val="00025563"/>
    <w:rsid w:val="000E7E6D"/>
    <w:rsid w:val="001423D4"/>
    <w:rsid w:val="001718C3"/>
    <w:rsid w:val="00195C09"/>
    <w:rsid w:val="002218DD"/>
    <w:rsid w:val="00236B5F"/>
    <w:rsid w:val="00244155"/>
    <w:rsid w:val="002A7FB2"/>
    <w:rsid w:val="002B43AC"/>
    <w:rsid w:val="002D4335"/>
    <w:rsid w:val="002E6247"/>
    <w:rsid w:val="00307595"/>
    <w:rsid w:val="003126D1"/>
    <w:rsid w:val="00337F74"/>
    <w:rsid w:val="0034313C"/>
    <w:rsid w:val="00373E58"/>
    <w:rsid w:val="004028B1"/>
    <w:rsid w:val="00435C5F"/>
    <w:rsid w:val="004A4A0D"/>
    <w:rsid w:val="00557B91"/>
    <w:rsid w:val="006201B5"/>
    <w:rsid w:val="00641D00"/>
    <w:rsid w:val="00650CDA"/>
    <w:rsid w:val="00666522"/>
    <w:rsid w:val="006C7B83"/>
    <w:rsid w:val="007B0502"/>
    <w:rsid w:val="008041EE"/>
    <w:rsid w:val="008145D6"/>
    <w:rsid w:val="008162B6"/>
    <w:rsid w:val="008A5A47"/>
    <w:rsid w:val="008A6E90"/>
    <w:rsid w:val="0093662C"/>
    <w:rsid w:val="009A4CC4"/>
    <w:rsid w:val="00A027AA"/>
    <w:rsid w:val="00A228AB"/>
    <w:rsid w:val="00A340F8"/>
    <w:rsid w:val="00A910DA"/>
    <w:rsid w:val="00A9692C"/>
    <w:rsid w:val="00AF4E0A"/>
    <w:rsid w:val="00BB22FD"/>
    <w:rsid w:val="00BD3469"/>
    <w:rsid w:val="00C130CA"/>
    <w:rsid w:val="00C15F68"/>
    <w:rsid w:val="00C34C4E"/>
    <w:rsid w:val="00C41FA6"/>
    <w:rsid w:val="00C45028"/>
    <w:rsid w:val="00C604D0"/>
    <w:rsid w:val="00CB67B1"/>
    <w:rsid w:val="00D95E64"/>
    <w:rsid w:val="00DA626A"/>
    <w:rsid w:val="00E41487"/>
    <w:rsid w:val="00E519B2"/>
    <w:rsid w:val="00E53978"/>
    <w:rsid w:val="00E664D7"/>
    <w:rsid w:val="00EA53CC"/>
    <w:rsid w:val="00FB0A29"/>
    <w:rsid w:val="00FB198C"/>
    <w:rsid w:val="00FB4DFA"/>
    <w:rsid w:val="00FD4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8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0DA"/>
    <w:pPr>
      <w:spacing w:after="160" w:line="259" w:lineRule="auto"/>
    </w:pPr>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0DA"/>
    <w:pPr>
      <w:ind w:left="720"/>
      <w:contextualSpacing/>
    </w:pPr>
  </w:style>
  <w:style w:type="paragraph" w:styleId="FootnoteText">
    <w:name w:val="footnote text"/>
    <w:basedOn w:val="Normal"/>
    <w:link w:val="FootnoteTextChar"/>
    <w:uiPriority w:val="99"/>
    <w:unhideWhenUsed/>
    <w:rsid w:val="00A910DA"/>
    <w:pPr>
      <w:spacing w:after="0" w:line="240" w:lineRule="auto"/>
    </w:pPr>
    <w:rPr>
      <w:rFonts w:ascii="Times New Roman" w:eastAsiaTheme="minorEastAsia" w:hAnsi="Times New Roman" w:cs="Times New Roman"/>
      <w:szCs w:val="20"/>
    </w:rPr>
  </w:style>
  <w:style w:type="character" w:customStyle="1" w:styleId="FootnoteTextChar">
    <w:name w:val="Footnote Text Char"/>
    <w:basedOn w:val="DefaultParagraphFont"/>
    <w:link w:val="FootnoteText"/>
    <w:uiPriority w:val="99"/>
    <w:rsid w:val="00A910DA"/>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A910DA"/>
    <w:rPr>
      <w:vertAlign w:val="superscript"/>
    </w:rPr>
  </w:style>
  <w:style w:type="table" w:styleId="TableGrid">
    <w:name w:val="Table Grid"/>
    <w:basedOn w:val="TableNormal"/>
    <w:uiPriority w:val="59"/>
    <w:rsid w:val="00A910DA"/>
    <w:pPr>
      <w:spacing w:after="0" w:line="240" w:lineRule="auto"/>
    </w:pPr>
    <w:rPr>
      <w:rFonts w:ascii="Georgia" w:hAnsi="Georg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3-arial">
    <w:name w:val="qowt-font3-arial"/>
    <w:basedOn w:val="DefaultParagraphFont"/>
    <w:rsid w:val="00A910DA"/>
  </w:style>
  <w:style w:type="paragraph" w:customStyle="1" w:styleId="qowt-stl-normal">
    <w:name w:val="qowt-stl-normal"/>
    <w:basedOn w:val="Normal"/>
    <w:rsid w:val="00A910D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1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0DA"/>
    <w:rPr>
      <w:rFonts w:ascii="Georgia" w:hAnsi="Georgia"/>
      <w:sz w:val="20"/>
    </w:rPr>
  </w:style>
  <w:style w:type="character" w:styleId="CommentReference">
    <w:name w:val="annotation reference"/>
    <w:basedOn w:val="DefaultParagraphFont"/>
    <w:uiPriority w:val="99"/>
    <w:unhideWhenUsed/>
    <w:rsid w:val="00A910DA"/>
    <w:rPr>
      <w:sz w:val="16"/>
      <w:szCs w:val="16"/>
    </w:rPr>
  </w:style>
  <w:style w:type="paragraph" w:styleId="CommentText">
    <w:name w:val="annotation text"/>
    <w:basedOn w:val="Normal"/>
    <w:link w:val="CommentTextChar"/>
    <w:uiPriority w:val="99"/>
    <w:unhideWhenUsed/>
    <w:rsid w:val="00A910DA"/>
    <w:pPr>
      <w:spacing w:line="240" w:lineRule="auto"/>
    </w:pPr>
    <w:rPr>
      <w:szCs w:val="20"/>
    </w:rPr>
  </w:style>
  <w:style w:type="character" w:customStyle="1" w:styleId="CommentTextChar">
    <w:name w:val="Comment Text Char"/>
    <w:basedOn w:val="DefaultParagraphFont"/>
    <w:link w:val="CommentText"/>
    <w:uiPriority w:val="99"/>
    <w:rsid w:val="00A910DA"/>
    <w:rPr>
      <w:rFonts w:ascii="Georgia" w:hAnsi="Georgia"/>
      <w:sz w:val="20"/>
      <w:szCs w:val="20"/>
    </w:rPr>
  </w:style>
  <w:style w:type="character" w:styleId="Hyperlink">
    <w:name w:val="Hyperlink"/>
    <w:basedOn w:val="DefaultParagraphFont"/>
    <w:uiPriority w:val="99"/>
    <w:unhideWhenUsed/>
    <w:rsid w:val="00A910DA"/>
    <w:rPr>
      <w:color w:val="0000FF" w:themeColor="hyperlink"/>
      <w:u w:val="single"/>
    </w:rPr>
  </w:style>
  <w:style w:type="paragraph" w:styleId="BalloonText">
    <w:name w:val="Balloon Text"/>
    <w:basedOn w:val="Normal"/>
    <w:link w:val="BalloonTextChar"/>
    <w:uiPriority w:val="99"/>
    <w:semiHidden/>
    <w:unhideWhenUsed/>
    <w:rsid w:val="00A91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0DA"/>
    <w:rPr>
      <w:rFonts w:ascii="Tahoma" w:hAnsi="Tahoma" w:cs="Tahoma"/>
      <w:sz w:val="16"/>
      <w:szCs w:val="16"/>
    </w:rPr>
  </w:style>
  <w:style w:type="character" w:styleId="FollowedHyperlink">
    <w:name w:val="FollowedHyperlink"/>
    <w:basedOn w:val="DefaultParagraphFont"/>
    <w:uiPriority w:val="99"/>
    <w:semiHidden/>
    <w:unhideWhenUsed/>
    <w:rsid w:val="0024415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B0502"/>
    <w:rPr>
      <w:b/>
      <w:bCs/>
    </w:rPr>
  </w:style>
  <w:style w:type="character" w:customStyle="1" w:styleId="CommentSubjectChar">
    <w:name w:val="Comment Subject Char"/>
    <w:basedOn w:val="CommentTextChar"/>
    <w:link w:val="CommentSubject"/>
    <w:uiPriority w:val="99"/>
    <w:semiHidden/>
    <w:rsid w:val="007B0502"/>
    <w:rPr>
      <w:rFonts w:ascii="Georgia" w:hAnsi="Georgia"/>
      <w:b/>
      <w:bCs/>
      <w:sz w:val="20"/>
      <w:szCs w:val="20"/>
    </w:rPr>
  </w:style>
  <w:style w:type="paragraph" w:customStyle="1" w:styleId="TableParagraph">
    <w:name w:val="Table Paragraph"/>
    <w:basedOn w:val="Normal"/>
    <w:uiPriority w:val="1"/>
    <w:qFormat/>
    <w:rsid w:val="00BB22FD"/>
    <w:pPr>
      <w:widowControl w:val="0"/>
      <w:spacing w:after="0" w:line="240" w:lineRule="auto"/>
    </w:pPr>
    <w:rPr>
      <w:rFonts w:asciiTheme="minorHAnsi" w:hAnsiTheme="minorHAnsi"/>
      <w:sz w:val="22"/>
    </w:rPr>
  </w:style>
  <w:style w:type="paragraph" w:styleId="Revision">
    <w:name w:val="Revision"/>
    <w:hidden/>
    <w:uiPriority w:val="99"/>
    <w:semiHidden/>
    <w:rsid w:val="00C130CA"/>
    <w:pPr>
      <w:spacing w:after="0" w:line="240" w:lineRule="auto"/>
    </w:pPr>
    <w:rPr>
      <w:rFonts w:ascii="Georgia" w:hAnsi="Georgia"/>
      <w:sz w:val="20"/>
    </w:rPr>
  </w:style>
  <w:style w:type="paragraph" w:styleId="Header">
    <w:name w:val="header"/>
    <w:basedOn w:val="Normal"/>
    <w:link w:val="HeaderChar"/>
    <w:uiPriority w:val="99"/>
    <w:unhideWhenUsed/>
    <w:rsid w:val="00FB1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8C"/>
    <w:rPr>
      <w:rFonts w:ascii="Georgia" w:hAnsi="Georgi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0DA"/>
    <w:pPr>
      <w:spacing w:after="160" w:line="259" w:lineRule="auto"/>
    </w:pPr>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0DA"/>
    <w:pPr>
      <w:ind w:left="720"/>
      <w:contextualSpacing/>
    </w:pPr>
  </w:style>
  <w:style w:type="paragraph" w:styleId="FootnoteText">
    <w:name w:val="footnote text"/>
    <w:basedOn w:val="Normal"/>
    <w:link w:val="FootnoteTextChar"/>
    <w:uiPriority w:val="99"/>
    <w:unhideWhenUsed/>
    <w:rsid w:val="00A910DA"/>
    <w:pPr>
      <w:spacing w:after="0" w:line="240" w:lineRule="auto"/>
    </w:pPr>
    <w:rPr>
      <w:rFonts w:ascii="Times New Roman" w:eastAsiaTheme="minorEastAsia" w:hAnsi="Times New Roman" w:cs="Times New Roman"/>
      <w:szCs w:val="20"/>
    </w:rPr>
  </w:style>
  <w:style w:type="character" w:customStyle="1" w:styleId="FootnoteTextChar">
    <w:name w:val="Footnote Text Char"/>
    <w:basedOn w:val="DefaultParagraphFont"/>
    <w:link w:val="FootnoteText"/>
    <w:uiPriority w:val="99"/>
    <w:rsid w:val="00A910DA"/>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A910DA"/>
    <w:rPr>
      <w:vertAlign w:val="superscript"/>
    </w:rPr>
  </w:style>
  <w:style w:type="table" w:styleId="TableGrid">
    <w:name w:val="Table Grid"/>
    <w:basedOn w:val="TableNormal"/>
    <w:uiPriority w:val="59"/>
    <w:rsid w:val="00A910DA"/>
    <w:pPr>
      <w:spacing w:after="0" w:line="240" w:lineRule="auto"/>
    </w:pPr>
    <w:rPr>
      <w:rFonts w:ascii="Georgia" w:hAnsi="Georgi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owt-font3-arial">
    <w:name w:val="qowt-font3-arial"/>
    <w:basedOn w:val="DefaultParagraphFont"/>
    <w:rsid w:val="00A910DA"/>
  </w:style>
  <w:style w:type="paragraph" w:customStyle="1" w:styleId="qowt-stl-normal">
    <w:name w:val="qowt-stl-normal"/>
    <w:basedOn w:val="Normal"/>
    <w:rsid w:val="00A910D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1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0DA"/>
    <w:rPr>
      <w:rFonts w:ascii="Georgia" w:hAnsi="Georgia"/>
      <w:sz w:val="20"/>
    </w:rPr>
  </w:style>
  <w:style w:type="character" w:styleId="CommentReference">
    <w:name w:val="annotation reference"/>
    <w:basedOn w:val="DefaultParagraphFont"/>
    <w:uiPriority w:val="99"/>
    <w:unhideWhenUsed/>
    <w:rsid w:val="00A910DA"/>
    <w:rPr>
      <w:sz w:val="16"/>
      <w:szCs w:val="16"/>
    </w:rPr>
  </w:style>
  <w:style w:type="paragraph" w:styleId="CommentText">
    <w:name w:val="annotation text"/>
    <w:basedOn w:val="Normal"/>
    <w:link w:val="CommentTextChar"/>
    <w:uiPriority w:val="99"/>
    <w:unhideWhenUsed/>
    <w:rsid w:val="00A910DA"/>
    <w:pPr>
      <w:spacing w:line="240" w:lineRule="auto"/>
    </w:pPr>
    <w:rPr>
      <w:szCs w:val="20"/>
    </w:rPr>
  </w:style>
  <w:style w:type="character" w:customStyle="1" w:styleId="CommentTextChar">
    <w:name w:val="Comment Text Char"/>
    <w:basedOn w:val="DefaultParagraphFont"/>
    <w:link w:val="CommentText"/>
    <w:uiPriority w:val="99"/>
    <w:rsid w:val="00A910DA"/>
    <w:rPr>
      <w:rFonts w:ascii="Georgia" w:hAnsi="Georgia"/>
      <w:sz w:val="20"/>
      <w:szCs w:val="20"/>
    </w:rPr>
  </w:style>
  <w:style w:type="character" w:styleId="Hyperlink">
    <w:name w:val="Hyperlink"/>
    <w:basedOn w:val="DefaultParagraphFont"/>
    <w:uiPriority w:val="99"/>
    <w:unhideWhenUsed/>
    <w:rsid w:val="00A910DA"/>
    <w:rPr>
      <w:color w:val="0000FF" w:themeColor="hyperlink"/>
      <w:u w:val="single"/>
    </w:rPr>
  </w:style>
  <w:style w:type="paragraph" w:styleId="BalloonText">
    <w:name w:val="Balloon Text"/>
    <w:basedOn w:val="Normal"/>
    <w:link w:val="BalloonTextChar"/>
    <w:uiPriority w:val="99"/>
    <w:semiHidden/>
    <w:unhideWhenUsed/>
    <w:rsid w:val="00A910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0DA"/>
    <w:rPr>
      <w:rFonts w:ascii="Tahoma" w:hAnsi="Tahoma" w:cs="Tahoma"/>
      <w:sz w:val="16"/>
      <w:szCs w:val="16"/>
    </w:rPr>
  </w:style>
  <w:style w:type="character" w:styleId="FollowedHyperlink">
    <w:name w:val="FollowedHyperlink"/>
    <w:basedOn w:val="DefaultParagraphFont"/>
    <w:uiPriority w:val="99"/>
    <w:semiHidden/>
    <w:unhideWhenUsed/>
    <w:rsid w:val="0024415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7B0502"/>
    <w:rPr>
      <w:b/>
      <w:bCs/>
    </w:rPr>
  </w:style>
  <w:style w:type="character" w:customStyle="1" w:styleId="CommentSubjectChar">
    <w:name w:val="Comment Subject Char"/>
    <w:basedOn w:val="CommentTextChar"/>
    <w:link w:val="CommentSubject"/>
    <w:uiPriority w:val="99"/>
    <w:semiHidden/>
    <w:rsid w:val="007B0502"/>
    <w:rPr>
      <w:rFonts w:ascii="Georgia" w:hAnsi="Georgia"/>
      <w:b/>
      <w:bCs/>
      <w:sz w:val="20"/>
      <w:szCs w:val="20"/>
    </w:rPr>
  </w:style>
  <w:style w:type="paragraph" w:customStyle="1" w:styleId="TableParagraph">
    <w:name w:val="Table Paragraph"/>
    <w:basedOn w:val="Normal"/>
    <w:uiPriority w:val="1"/>
    <w:qFormat/>
    <w:rsid w:val="00BB22FD"/>
    <w:pPr>
      <w:widowControl w:val="0"/>
      <w:spacing w:after="0" w:line="240" w:lineRule="auto"/>
    </w:pPr>
    <w:rPr>
      <w:rFonts w:asciiTheme="minorHAnsi" w:hAnsiTheme="minorHAnsi"/>
      <w:sz w:val="22"/>
    </w:rPr>
  </w:style>
  <w:style w:type="paragraph" w:styleId="Revision">
    <w:name w:val="Revision"/>
    <w:hidden/>
    <w:uiPriority w:val="99"/>
    <w:semiHidden/>
    <w:rsid w:val="00C130CA"/>
    <w:pPr>
      <w:spacing w:after="0" w:line="240" w:lineRule="auto"/>
    </w:pPr>
    <w:rPr>
      <w:rFonts w:ascii="Georgia" w:hAnsi="Georgia"/>
      <w:sz w:val="20"/>
    </w:rPr>
  </w:style>
  <w:style w:type="paragraph" w:styleId="Header">
    <w:name w:val="header"/>
    <w:basedOn w:val="Normal"/>
    <w:link w:val="HeaderChar"/>
    <w:uiPriority w:val="99"/>
    <w:unhideWhenUsed/>
    <w:rsid w:val="00FB1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98C"/>
    <w:rPr>
      <w:rFonts w:ascii="Georgia" w:hAnsi="Georgi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2.ed.gov/about/reports/annual/index.html" TargetMode="External"/><Relationship Id="rId4" Type="http://schemas.microsoft.com/office/2007/relationships/stylesWithEffects" Target="stylesWithEffects.xml"/><Relationship Id="rId9" Type="http://schemas.openxmlformats.org/officeDocument/2006/relationships/hyperlink" Target="http://www2.ed.gov/about/reports/annual/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7099F-F29D-4B64-A199-8128342D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2611</Words>
  <Characters>14889</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Authorised User</cp:lastModifiedBy>
  <cp:revision>2</cp:revision>
  <cp:lastPrinted>2016-11-09T13:49:00Z</cp:lastPrinted>
  <dcterms:created xsi:type="dcterms:W3CDTF">2016-11-15T16:58:00Z</dcterms:created>
  <dcterms:modified xsi:type="dcterms:W3CDTF">2016-11-15T16:58:00Z</dcterms:modified>
</cp:coreProperties>
</file>